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温州市公路与运输管理中心</w:t>
      </w:r>
    </w:p>
    <w:p>
      <w:pPr>
        <w:snapToGrid w:val="0"/>
        <w:spacing w:line="600" w:lineRule="exact"/>
        <w:jc w:val="center"/>
        <w:rPr>
          <w:rFonts w:ascii="方正小标宋_GBK" w:eastAsia="方正小标宋_GBK" w:hAnsiTheme="minorHAnsi" w:cstheme="minorBidi"/>
          <w:sz w:val="44"/>
          <w:szCs w:val="44"/>
        </w:rPr>
      </w:pPr>
      <w:r>
        <w:rPr>
          <w:rFonts w:hint="eastAsia" w:ascii="方正小标宋_GBK" w:eastAsia="方正小标宋_GBK" w:hAnsiTheme="minorHAnsi" w:cstheme="minorBidi"/>
          <w:sz w:val="44"/>
          <w:szCs w:val="44"/>
        </w:rPr>
        <w:t>2</w:t>
      </w:r>
      <w:r>
        <w:rPr>
          <w:rFonts w:ascii="方正小标宋_GBK" w:eastAsia="方正小标宋_GBK" w:hAnsiTheme="minorHAnsi" w:cstheme="minorBidi"/>
          <w:sz w:val="44"/>
          <w:szCs w:val="44"/>
        </w:rPr>
        <w:t>022</w:t>
      </w:r>
      <w:r>
        <w:rPr>
          <w:rFonts w:hint="eastAsia" w:ascii="方正小标宋_GBK" w:eastAsia="方正小标宋_GBK" w:hAnsiTheme="minorHAnsi" w:cstheme="minorBidi"/>
          <w:sz w:val="44"/>
          <w:szCs w:val="44"/>
        </w:rPr>
        <w:t>年度</w:t>
      </w:r>
      <w:r>
        <w:rPr>
          <w:rFonts w:hint="eastAsia" w:ascii="方正小标宋_GBK" w:eastAsia="方正小标宋_GBK" w:hAnsiTheme="minorHAnsi" w:cstheme="minorBidi"/>
          <w:sz w:val="44"/>
          <w:szCs w:val="44"/>
          <w:lang w:eastAsia="zh-CN"/>
        </w:rPr>
        <w:t>温州市区</w:t>
      </w:r>
      <w:r>
        <w:rPr>
          <w:rFonts w:hint="eastAsia" w:ascii="方正小标宋_GBK" w:eastAsia="方正小标宋_GBK" w:hAnsiTheme="minorHAnsi" w:cstheme="minorBidi"/>
          <w:sz w:val="44"/>
          <w:szCs w:val="44"/>
        </w:rPr>
        <w:t>道路旅客运输企业安全生产评价项目自行采购方案</w:t>
      </w:r>
    </w:p>
    <w:p>
      <w:pPr>
        <w:pStyle w:val="2"/>
        <w:ind w:firstLine="480"/>
      </w:pPr>
    </w:p>
    <w:p>
      <w:pPr>
        <w:widowControl w:val="0"/>
        <w:ind w:firstLine="640" w:firstLineChars="200"/>
        <w:jc w:val="both"/>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根据省、市交通运输行业安全生产专项整治行动统一部署，</w:t>
      </w:r>
      <w:r>
        <w:rPr>
          <w:rFonts w:hint="eastAsia" w:ascii="仿宋_GB2312" w:hAnsi="仿宋_GB2312" w:eastAsia="仿宋_GB2312" w:cs="仿宋_GB2312"/>
          <w:kern w:val="2"/>
          <w:sz w:val="32"/>
          <w:szCs w:val="32"/>
        </w:rPr>
        <w:t>温州市公路与运输管理中心</w:t>
      </w:r>
      <w:r>
        <w:rPr>
          <w:rFonts w:ascii="仿宋_GB2312" w:hAnsi="仿宋_GB2312" w:eastAsia="仿宋_GB2312" w:cs="仿宋_GB2312"/>
          <w:kern w:val="2"/>
          <w:sz w:val="32"/>
          <w:szCs w:val="32"/>
        </w:rPr>
        <w:t>坚持突出“查大问题、除大隐患、防大事故”为重点，</w:t>
      </w:r>
      <w:r>
        <w:rPr>
          <w:rFonts w:hint="eastAsia" w:ascii="仿宋_GB2312" w:hAnsi="仿宋_GB2312" w:eastAsia="仿宋_GB2312" w:cs="仿宋_GB2312"/>
          <w:kern w:val="2"/>
          <w:sz w:val="32"/>
          <w:szCs w:val="32"/>
        </w:rPr>
        <w:t>拟委托第三方开展温州市道路旅客运输企业安全生产评价工作，深入</w:t>
      </w:r>
      <w:r>
        <w:rPr>
          <w:rFonts w:ascii="仿宋_GB2312" w:hAnsi="仿宋_GB2312" w:eastAsia="仿宋_GB2312" w:cs="仿宋_GB2312"/>
          <w:kern w:val="2"/>
          <w:sz w:val="32"/>
          <w:szCs w:val="32"/>
        </w:rPr>
        <w:t>安全生产风险隐患大起底、大排查、大整治</w:t>
      </w:r>
      <w:r>
        <w:rPr>
          <w:rFonts w:hint="eastAsia" w:ascii="仿宋_GB2312" w:hAnsi="仿宋_GB2312" w:eastAsia="仿宋_GB2312" w:cs="仿宋_GB2312"/>
          <w:kern w:val="2"/>
          <w:sz w:val="32"/>
          <w:szCs w:val="32"/>
        </w:rPr>
        <w:t>。根据《温州市公路与运输管理中心自行采购项目管理规程（试行）》有关要求，特拟定本方案。</w:t>
      </w:r>
    </w:p>
    <w:p>
      <w:pPr>
        <w:widowControl w:val="0"/>
        <w:ind w:firstLine="641" w:firstLineChars="200"/>
        <w:jc w:val="both"/>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一、采购内容</w:t>
      </w:r>
    </w:p>
    <w:p>
      <w:pPr>
        <w:widowControl w:val="0"/>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温州市公路与运输管理中心要求开展2022年度道路旅客运输企业安全生产</w:t>
      </w:r>
      <w:r>
        <w:rPr>
          <w:rFonts w:hint="eastAsia" w:ascii="仿宋_GB2312" w:hAnsi="仿宋_GB2312" w:eastAsia="仿宋_GB2312" w:cs="仿宋_GB2312"/>
          <w:kern w:val="2"/>
          <w:sz w:val="32"/>
          <w:szCs w:val="32"/>
        </w:rPr>
        <w:t>评价</w:t>
      </w:r>
      <w:r>
        <w:rPr>
          <w:rFonts w:hint="eastAsia" w:ascii="仿宋_GB2312" w:hAnsi="仿宋_GB2312" w:eastAsia="仿宋_GB2312" w:cs="仿宋_GB2312"/>
          <w:sz w:val="32"/>
          <w:szCs w:val="32"/>
        </w:rPr>
        <w:t>工作。乙方</w:t>
      </w:r>
      <w:r>
        <w:rPr>
          <w:rFonts w:hint="eastAsia" w:ascii="仿宋_GB2312" w:hAnsi="仿宋_GB2312" w:eastAsia="仿宋_GB2312" w:cs="仿宋_GB2312"/>
          <w:kern w:val="2"/>
          <w:sz w:val="32"/>
          <w:szCs w:val="32"/>
        </w:rPr>
        <w:t>对温州市</w:t>
      </w:r>
      <w:r>
        <w:rPr>
          <w:rFonts w:hint="eastAsia" w:ascii="仿宋_GB2312" w:hAnsi="仿宋_GB2312" w:eastAsia="仿宋_GB2312" w:cs="仿宋_GB2312"/>
          <w:kern w:val="2"/>
          <w:sz w:val="32"/>
          <w:szCs w:val="32"/>
          <w:lang w:eastAsia="zh-CN"/>
        </w:rPr>
        <w:t>区</w:t>
      </w:r>
      <w:r>
        <w:rPr>
          <w:rFonts w:hint="eastAsia" w:ascii="仿宋_GB2312" w:hAnsi="仿宋_GB2312" w:eastAsia="仿宋_GB2312" w:cs="仿宋_GB2312"/>
          <w:kern w:val="2"/>
          <w:sz w:val="32"/>
          <w:szCs w:val="32"/>
          <w:lang w:val="en-US" w:eastAsia="zh-CN"/>
        </w:rPr>
        <w:t>17家两客</w:t>
      </w:r>
      <w:r>
        <w:rPr>
          <w:rFonts w:hint="eastAsia" w:ascii="仿宋_GB2312" w:hAnsi="仿宋_GB2312" w:eastAsia="仿宋_GB2312" w:cs="仿宋_GB2312"/>
          <w:kern w:val="2"/>
          <w:sz w:val="32"/>
          <w:szCs w:val="32"/>
        </w:rPr>
        <w:t>企业开展《道路旅客运输企业安全管理规范》贯彻落实情况检查</w:t>
      </w:r>
      <w:r>
        <w:rPr>
          <w:rFonts w:hint="eastAsia" w:ascii="仿宋_GB2312" w:hAnsi="仿宋_GB2312" w:eastAsia="仿宋_GB2312" w:cs="仿宋_GB2312"/>
          <w:kern w:val="2"/>
          <w:sz w:val="32"/>
          <w:szCs w:val="32"/>
          <w:lang w:eastAsia="zh-CN"/>
        </w:rPr>
        <w:t>、评估，并按照《道路旅客运输企业安全生产评估要点》编制评估报告。</w:t>
      </w:r>
    </w:p>
    <w:p>
      <w:pPr>
        <w:widowControl w:val="0"/>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本项目采购预算为</w:t>
      </w:r>
      <w:r>
        <w:rPr>
          <w:rFonts w:hint="eastAsia" w:ascii="仿宋_GB2312" w:hAnsi="仿宋_GB2312" w:eastAsia="仿宋_GB2312" w:cs="仿宋_GB2312"/>
          <w:kern w:val="2"/>
          <w:sz w:val="32"/>
          <w:szCs w:val="32"/>
          <w:lang w:val="en-US" w:eastAsia="zh-CN"/>
        </w:rPr>
        <w:t>9.6</w:t>
      </w:r>
      <w:r>
        <w:rPr>
          <w:rFonts w:hint="eastAsia" w:ascii="仿宋_GB2312" w:hAnsi="仿宋_GB2312" w:eastAsia="仿宋_GB2312" w:cs="仿宋_GB2312"/>
          <w:kern w:val="2"/>
          <w:sz w:val="32"/>
          <w:szCs w:val="32"/>
        </w:rPr>
        <w:t>万元，报价超过采购预算价/最高限价的作无效标处理。</w:t>
      </w:r>
    </w:p>
    <w:p>
      <w:pPr>
        <w:rPr>
          <w:rFonts w:ascii="仿宋_GB2312" w:hAnsi="仿宋_GB2312" w:eastAsia="仿宋_GB2312" w:cs="仿宋_GB2312"/>
          <w:b/>
          <w:bCs/>
          <w:kern w:val="2"/>
          <w:sz w:val="32"/>
          <w:szCs w:val="32"/>
        </w:rPr>
      </w:pPr>
      <w:r>
        <w:rPr>
          <w:rFonts w:ascii="仿宋_GB2312" w:hAnsi="仿宋_GB2312" w:eastAsia="仿宋_GB2312" w:cs="仿宋_GB2312"/>
          <w:b/>
          <w:bCs/>
          <w:sz w:val="32"/>
          <w:szCs w:val="32"/>
        </w:rPr>
        <w:br w:type="page"/>
      </w:r>
    </w:p>
    <w:p>
      <w:pPr>
        <w:pStyle w:val="28"/>
        <w:ind w:left="640"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lang w:val="en"/>
        </w:rPr>
        <w:t>评分标准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标采用综合评分法，总分为100分。合格投标人的总得分为各项目汇总得分，中标按总得分由高到低顺序排列，总得分相同的，由采购人现场抽签确定排序。排名第一的投标人为中标候选人。评分过程中采用四舍五入法，并保留小数2位。投标人评标总得分=资信商务及技术分+价格分</w:t>
      </w:r>
    </w:p>
    <w:p>
      <w:pPr>
        <w:pStyle w:val="28"/>
        <w:adjustRightInd w:val="0"/>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（一）资信商务及技术分（9</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rPr>
        <w:t>分）</w:t>
      </w:r>
    </w:p>
    <w:tbl>
      <w:tblPr>
        <w:tblStyle w:val="23"/>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532"/>
        <w:gridCol w:w="871"/>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新宋体"/>
                <w:b/>
              </w:rPr>
            </w:pPr>
            <w:r>
              <w:rPr>
                <w:rFonts w:eastAsia="新宋体"/>
                <w:b/>
              </w:rPr>
              <w:t>序号</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rPr>
            </w:pPr>
            <w:r>
              <w:rPr>
                <w:rFonts w:eastAsia="新宋体"/>
                <w:b/>
              </w:rPr>
              <w:t>评分内容</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rPr>
            </w:pPr>
            <w:r>
              <w:rPr>
                <w:rFonts w:eastAsia="新宋体"/>
                <w:b/>
              </w:rPr>
              <w:t>分值</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
              </w:rPr>
            </w:pPr>
            <w:r>
              <w:rPr>
                <w:rFonts w:eastAsia="新宋体"/>
                <w:b/>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6"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1</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lang w:val="zh-CN"/>
              </w:rPr>
            </w:pPr>
            <w:r>
              <w:rPr>
                <w:rFonts w:eastAsia="新宋体"/>
                <w:bCs/>
              </w:rPr>
              <w:t>供应商综合情况</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4分</w:t>
            </w:r>
          </w:p>
        </w:tc>
        <w:tc>
          <w:tcPr>
            <w:tcW w:w="5897"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spacing w:line="400" w:lineRule="exact"/>
              <w:jc w:val="both"/>
              <w:rPr>
                <w:rFonts w:hint="eastAsia" w:eastAsia="新宋体"/>
                <w:bCs/>
              </w:rPr>
            </w:pPr>
            <w:r>
              <w:rPr>
                <w:rFonts w:hint="eastAsia" w:eastAsia="新宋体"/>
                <w:bCs/>
              </w:rPr>
              <w:t>投标人</w:t>
            </w:r>
            <w:r>
              <w:rPr>
                <w:rFonts w:eastAsia="新宋体"/>
                <w:bCs/>
              </w:rPr>
              <w:t>具有有效的ISO9001质量管理体系认证证</w:t>
            </w:r>
            <w:r>
              <w:rPr>
                <w:rFonts w:hint="eastAsia" w:eastAsia="新宋体"/>
                <w:bCs/>
              </w:rPr>
              <w:t>书、</w:t>
            </w:r>
            <w:r>
              <w:rPr>
                <w:rFonts w:eastAsia="新宋体"/>
                <w:bCs/>
              </w:rPr>
              <w:t>ISO45001职业健康安全管理体系认证</w:t>
            </w:r>
            <w:r>
              <w:rPr>
                <w:rFonts w:hint="eastAsia" w:eastAsia="新宋体"/>
                <w:bCs/>
              </w:rPr>
              <w:t>、</w:t>
            </w:r>
            <w:r>
              <w:rPr>
                <w:rFonts w:eastAsia="新宋体"/>
                <w:bCs/>
              </w:rPr>
              <w:t>I</w:t>
            </w:r>
            <w:r>
              <w:rPr>
                <w:rFonts w:hint="eastAsia" w:eastAsia="新宋体"/>
                <w:bCs/>
              </w:rPr>
              <w:t>SO14001环境管理体系认证证书的，每项得</w:t>
            </w:r>
            <w:r>
              <w:rPr>
                <w:rFonts w:eastAsia="新宋体"/>
                <w:bCs/>
              </w:rPr>
              <w:t>1</w:t>
            </w:r>
            <w:r>
              <w:rPr>
                <w:rFonts w:hint="eastAsia" w:eastAsia="新宋体"/>
                <w:bCs/>
              </w:rPr>
              <w:t>分。（</w:t>
            </w:r>
            <w:r>
              <w:rPr>
                <w:rFonts w:eastAsia="新宋体"/>
                <w:bCs/>
              </w:rPr>
              <w:t>0</w:t>
            </w:r>
            <w:r>
              <w:rPr>
                <w:rFonts w:hint="eastAsia" w:eastAsia="新宋体"/>
                <w:bCs/>
              </w:rPr>
              <w:t>-</w:t>
            </w:r>
            <w:r>
              <w:rPr>
                <w:rFonts w:eastAsia="新宋体"/>
                <w:bCs/>
              </w:rPr>
              <w:t>3</w:t>
            </w:r>
            <w:r>
              <w:rPr>
                <w:rFonts w:hint="eastAsia" w:eastAsia="新宋体"/>
                <w:bCs/>
              </w:rPr>
              <w:t>分）</w:t>
            </w:r>
          </w:p>
          <w:p>
            <w:pPr>
              <w:numPr>
                <w:ilvl w:val="0"/>
                <w:numId w:val="0"/>
              </w:numPr>
              <w:adjustRightInd w:val="0"/>
              <w:snapToGrid w:val="0"/>
              <w:spacing w:line="400" w:lineRule="exact"/>
              <w:jc w:val="both"/>
              <w:rPr>
                <w:rFonts w:eastAsia="新宋体"/>
                <w:bCs/>
              </w:rPr>
            </w:pPr>
            <w:r>
              <w:rPr>
                <w:rFonts w:hint="eastAsia" w:eastAsia="新宋体"/>
                <w:bCs/>
              </w:rPr>
              <w:t>2</w:t>
            </w:r>
            <w:r>
              <w:rPr>
                <w:rFonts w:eastAsia="新宋体"/>
                <w:bCs/>
              </w:rPr>
              <w:t>.根据投标人自2019年1月1日以来</w:t>
            </w:r>
            <w:r>
              <w:rPr>
                <w:rFonts w:hint="eastAsia" w:eastAsia="新宋体"/>
                <w:bCs/>
              </w:rPr>
              <w:t>（以合同签订日期为准）</w:t>
            </w:r>
            <w:r>
              <w:rPr>
                <w:rFonts w:eastAsia="新宋体"/>
                <w:bCs/>
              </w:rPr>
              <w:t>成功实施的</w:t>
            </w:r>
            <w:r>
              <w:rPr>
                <w:rFonts w:hint="eastAsia" w:eastAsia="新宋体"/>
                <w:bCs/>
              </w:rPr>
              <w:t>道路运输企业安全生产评价项目</w:t>
            </w:r>
            <w:r>
              <w:rPr>
                <w:rFonts w:eastAsia="新宋体"/>
                <w:bCs/>
              </w:rPr>
              <w:t>业绩进行评分，</w:t>
            </w:r>
            <w:r>
              <w:rPr>
                <w:rFonts w:hint="eastAsia" w:eastAsia="新宋体"/>
                <w:bCs/>
              </w:rPr>
              <w:t>每</w:t>
            </w:r>
            <w:r>
              <w:rPr>
                <w:rFonts w:eastAsia="新宋体"/>
                <w:bCs/>
              </w:rPr>
              <w:t>个项目</w:t>
            </w:r>
            <w:r>
              <w:rPr>
                <w:rFonts w:hint="eastAsia" w:eastAsia="新宋体"/>
                <w:bCs/>
              </w:rPr>
              <w:t>得</w:t>
            </w:r>
            <w:r>
              <w:rPr>
                <w:rFonts w:eastAsia="新宋体"/>
                <w:bCs/>
              </w:rPr>
              <w:t>0.2分</w:t>
            </w:r>
            <w:r>
              <w:rPr>
                <w:rFonts w:hint="eastAsia" w:eastAsia="新宋体"/>
                <w:bCs/>
              </w:rPr>
              <w:t>，本项</w:t>
            </w:r>
            <w:r>
              <w:rPr>
                <w:rFonts w:eastAsia="新宋体"/>
                <w:bCs/>
              </w:rPr>
              <w:t>最多</w:t>
            </w:r>
            <w:r>
              <w:rPr>
                <w:rFonts w:hint="eastAsia" w:eastAsia="新宋体"/>
                <w:bCs/>
              </w:rPr>
              <w:t>得</w:t>
            </w:r>
            <w:r>
              <w:rPr>
                <w:rFonts w:eastAsia="新宋体"/>
                <w:bCs/>
              </w:rPr>
              <w:t>1分。</w:t>
            </w:r>
            <w:r>
              <w:rPr>
                <w:rFonts w:hint="eastAsia" w:eastAsia="新宋体"/>
                <w:bCs/>
              </w:rPr>
              <w:t>（</w:t>
            </w:r>
            <w:r>
              <w:rPr>
                <w:rFonts w:eastAsia="新宋体"/>
                <w:bCs/>
              </w:rPr>
              <w:t>0</w:t>
            </w:r>
            <w:r>
              <w:rPr>
                <w:rFonts w:hint="eastAsia" w:eastAsia="新宋体"/>
                <w:bCs/>
              </w:rPr>
              <w:t>-</w:t>
            </w:r>
            <w:r>
              <w:rPr>
                <w:rFonts w:eastAsia="新宋体"/>
                <w:bCs/>
              </w:rPr>
              <w:t>1</w:t>
            </w:r>
            <w:r>
              <w:rPr>
                <w:rFonts w:hint="eastAsia" w:eastAsia="新宋体"/>
                <w:bCs/>
              </w:rPr>
              <w:t>分）</w:t>
            </w:r>
          </w:p>
          <w:p>
            <w:pPr>
              <w:adjustRightInd w:val="0"/>
              <w:snapToGrid w:val="0"/>
              <w:spacing w:line="400" w:lineRule="exact"/>
              <w:jc w:val="both"/>
              <w:rPr>
                <w:rFonts w:eastAsia="新宋体"/>
                <w:bCs/>
              </w:rPr>
            </w:pPr>
            <w:r>
              <w:rPr>
                <w:rFonts w:eastAsia="新宋体"/>
                <w:bCs/>
              </w:rPr>
              <w:t>注：提供相关证明材料复印件加盖公章。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2</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项目理解</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8</w:t>
            </w:r>
            <w:r>
              <w:rPr>
                <w:rFonts w:hint="eastAsia" w:eastAsia="新宋体"/>
                <w:bCs/>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投标人对于道路运输行业、评价对象类型了解、项目的理解情况进行打分。（</w:t>
            </w:r>
            <w:r>
              <w:rPr>
                <w:rFonts w:eastAsia="新宋体"/>
                <w:bCs/>
              </w:rPr>
              <w:t>0</w:t>
            </w:r>
            <w:r>
              <w:rPr>
                <w:rFonts w:hint="eastAsia" w:eastAsia="新宋体"/>
                <w:bCs/>
              </w:rPr>
              <w:t>-</w:t>
            </w:r>
            <w:r>
              <w:rPr>
                <w:rFonts w:eastAsia="新宋体"/>
                <w:bCs/>
              </w:rPr>
              <w:t>8</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3</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评价指标体系</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1</w:t>
            </w:r>
            <w:r>
              <w:rPr>
                <w:rFonts w:eastAsia="新宋体"/>
                <w:bCs/>
              </w:rPr>
              <w:t>0</w:t>
            </w:r>
            <w:r>
              <w:rPr>
                <w:rFonts w:hint="eastAsia" w:eastAsia="新宋体"/>
                <w:bCs/>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对投标人为道路运输企业安全生产评价设计的评价指标体系的依据充分、设计科学、结构完整、便于评价和测量的情况进行打分。（</w:t>
            </w:r>
            <w:r>
              <w:rPr>
                <w:rFonts w:eastAsia="新宋体"/>
                <w:bCs/>
              </w:rPr>
              <w:t>0</w:t>
            </w:r>
            <w:r>
              <w:rPr>
                <w:rFonts w:hint="eastAsia" w:eastAsia="新宋体"/>
                <w:bCs/>
              </w:rPr>
              <w:t>-</w:t>
            </w:r>
            <w:r>
              <w:rPr>
                <w:rFonts w:eastAsia="新宋体"/>
                <w:bCs/>
              </w:rPr>
              <w:t>10</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4</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评价问卷</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1</w:t>
            </w:r>
            <w:r>
              <w:rPr>
                <w:rFonts w:eastAsia="新宋体"/>
                <w:bCs/>
              </w:rPr>
              <w:t>0</w:t>
            </w:r>
            <w:r>
              <w:rPr>
                <w:rFonts w:hint="eastAsia" w:eastAsia="新宋体"/>
                <w:bCs/>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对投标人为道路运输企业安全生产评价设计的评价问卷的内容完整、逻辑控制和条理清晰情况等进行打分。（</w:t>
            </w:r>
            <w:r>
              <w:rPr>
                <w:rFonts w:eastAsia="新宋体"/>
                <w:bCs/>
              </w:rPr>
              <w:t>0</w:t>
            </w:r>
            <w:r>
              <w:rPr>
                <w:rFonts w:hint="eastAsia" w:eastAsia="新宋体"/>
                <w:bCs/>
              </w:rPr>
              <w:t>-</w:t>
            </w:r>
            <w:r>
              <w:rPr>
                <w:rFonts w:eastAsia="新宋体"/>
                <w:bCs/>
              </w:rPr>
              <w:t>10</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5</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评价实施方案</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15</w:t>
            </w:r>
            <w:r>
              <w:rPr>
                <w:rFonts w:hint="eastAsia" w:eastAsia="新宋体"/>
                <w:bCs/>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1</w:t>
            </w:r>
            <w:r>
              <w:rPr>
                <w:rFonts w:eastAsia="新宋体"/>
                <w:bCs/>
              </w:rPr>
              <w:t>.</w:t>
            </w:r>
            <w:r>
              <w:rPr>
                <w:rFonts w:hint="eastAsia" w:eastAsia="新宋体"/>
                <w:bCs/>
              </w:rPr>
              <w:t>对投标人为本项目设计的评价实施方案内容结构完整、各环节工作内容明确情况进行打分。（</w:t>
            </w:r>
            <w:r>
              <w:rPr>
                <w:rFonts w:eastAsia="新宋体"/>
                <w:bCs/>
              </w:rPr>
              <w:t>0</w:t>
            </w:r>
            <w:r>
              <w:rPr>
                <w:rFonts w:hint="eastAsia" w:eastAsia="新宋体"/>
                <w:bCs/>
              </w:rPr>
              <w:t>-</w:t>
            </w:r>
            <w:r>
              <w:rPr>
                <w:rFonts w:eastAsia="新宋体"/>
                <w:bCs/>
              </w:rPr>
              <w:t>12</w:t>
            </w:r>
            <w:r>
              <w:rPr>
                <w:rFonts w:hint="eastAsia" w:eastAsia="新宋体"/>
                <w:bCs/>
              </w:rPr>
              <w:t>分）</w:t>
            </w:r>
          </w:p>
          <w:p>
            <w:pPr>
              <w:adjustRightInd w:val="0"/>
              <w:snapToGrid w:val="0"/>
              <w:spacing w:line="400" w:lineRule="exact"/>
              <w:jc w:val="both"/>
              <w:rPr>
                <w:rFonts w:eastAsia="新宋体"/>
                <w:bCs/>
              </w:rPr>
            </w:pPr>
            <w:r>
              <w:rPr>
                <w:rFonts w:hint="eastAsia" w:eastAsia="新宋体"/>
                <w:bCs/>
              </w:rPr>
              <w:t>2</w:t>
            </w:r>
            <w:r>
              <w:rPr>
                <w:rFonts w:eastAsia="新宋体"/>
                <w:bCs/>
              </w:rPr>
              <w:t>.</w:t>
            </w:r>
            <w:r>
              <w:rPr>
                <w:rFonts w:hint="eastAsia" w:eastAsia="新宋体"/>
                <w:bCs/>
              </w:rPr>
              <w:t>根据项目进度计划安排合理性、有效性进行打分。（</w:t>
            </w:r>
            <w:r>
              <w:rPr>
                <w:rFonts w:eastAsia="新宋体"/>
                <w:bCs/>
              </w:rPr>
              <w:t>0-3</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eastAsia="新宋体"/>
                <w:bCs/>
              </w:rPr>
              <w:t>6</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hint="eastAsia" w:ascii="宋体" w:hAnsi="宋体" w:cs="宋体"/>
                <w:color w:val="000000"/>
              </w:rPr>
              <w:t>评价设施与设备</w:t>
            </w:r>
          </w:p>
        </w:tc>
        <w:tc>
          <w:tcPr>
            <w:tcW w:w="871"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ascii="宋体" w:hAnsi="宋体" w:cs="宋体"/>
                <w:color w:val="000000"/>
              </w:rPr>
              <w:t>14</w:t>
            </w:r>
            <w:r>
              <w:rPr>
                <w:rFonts w:hint="eastAsia" w:ascii="宋体" w:hAnsi="宋体" w:cs="宋体"/>
                <w:color w:val="000000"/>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pPr>
            <w:r>
              <w:rPr>
                <w:rFonts w:hint="eastAsia"/>
              </w:rPr>
              <w:t>1</w:t>
            </w:r>
            <w:r>
              <w:t>.</w:t>
            </w:r>
            <w:r>
              <w:rPr>
                <w:rFonts w:hint="eastAsia"/>
              </w:rPr>
              <w:t>对投标人提供的</w:t>
            </w:r>
            <w:r>
              <w:rPr>
                <w:rFonts w:hint="eastAsia" w:ascii="宋体" w:hAnsi="宋体" w:cs="宋体"/>
                <w:color w:val="000000"/>
              </w:rPr>
              <w:t>评价</w:t>
            </w:r>
            <w:r>
              <w:rPr>
                <w:rFonts w:hint="eastAsia"/>
              </w:rPr>
              <w:t>设施全面、完善、高效情况进行打分。</w:t>
            </w:r>
            <w:r>
              <w:rPr>
                <w:rFonts w:hint="eastAsia" w:eastAsia="新宋体"/>
                <w:bCs/>
              </w:rPr>
              <w:t>（</w:t>
            </w:r>
            <w:r>
              <w:rPr>
                <w:rFonts w:eastAsia="新宋体"/>
                <w:bCs/>
              </w:rPr>
              <w:t>0-7</w:t>
            </w:r>
            <w:r>
              <w:rPr>
                <w:rFonts w:hint="eastAsia" w:eastAsia="新宋体"/>
                <w:bCs/>
              </w:rPr>
              <w:t>分）</w:t>
            </w:r>
          </w:p>
          <w:p>
            <w:pPr>
              <w:adjustRightInd w:val="0"/>
              <w:snapToGrid w:val="0"/>
              <w:spacing w:line="400" w:lineRule="exact"/>
              <w:jc w:val="both"/>
            </w:pPr>
            <w:r>
              <w:rPr>
                <w:rFonts w:hint="eastAsia"/>
              </w:rPr>
              <w:t>2</w:t>
            </w:r>
            <w:r>
              <w:t>.</w:t>
            </w:r>
            <w:r>
              <w:rPr>
                <w:rFonts w:hint="eastAsia"/>
              </w:rPr>
              <w:t>对投标人提供的</w:t>
            </w:r>
            <w:r>
              <w:rPr>
                <w:rFonts w:hint="eastAsia" w:ascii="宋体" w:hAnsi="宋体" w:cs="宋体"/>
                <w:color w:val="000000"/>
              </w:rPr>
              <w:t>评价</w:t>
            </w:r>
            <w:r>
              <w:rPr>
                <w:rFonts w:hint="eastAsia"/>
              </w:rPr>
              <w:t>设备专业性、全面性情况进行打分。</w:t>
            </w:r>
            <w:r>
              <w:rPr>
                <w:rFonts w:hint="eastAsia" w:eastAsia="新宋体"/>
                <w:bCs/>
              </w:rPr>
              <w:t>（</w:t>
            </w:r>
            <w:r>
              <w:rPr>
                <w:rFonts w:eastAsia="新宋体"/>
                <w:bCs/>
              </w:rPr>
              <w:t>0-7</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7</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项目质量</w:t>
            </w:r>
            <w:r>
              <w:rPr>
                <w:rFonts w:hint="eastAsia" w:eastAsia="新宋体"/>
                <w:bCs/>
              </w:rPr>
              <w:t>管理体系</w:t>
            </w:r>
          </w:p>
        </w:tc>
        <w:tc>
          <w:tcPr>
            <w:tcW w:w="871"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10</w:t>
            </w:r>
            <w:r>
              <w:rPr>
                <w:rFonts w:hint="eastAsia" w:eastAsia="新宋体"/>
                <w:bCs/>
              </w:rPr>
              <w:t>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1.服务质量承诺与本项目特点关联度高且全面、客观；最多得</w:t>
            </w:r>
            <w:r>
              <w:rPr>
                <w:rFonts w:eastAsia="新宋体"/>
                <w:bCs/>
              </w:rPr>
              <w:t>2</w:t>
            </w:r>
            <w:r>
              <w:rPr>
                <w:rFonts w:hint="eastAsia" w:eastAsia="新宋体"/>
                <w:bCs/>
              </w:rPr>
              <w:t>分。（</w:t>
            </w:r>
            <w:r>
              <w:rPr>
                <w:rFonts w:eastAsia="新宋体"/>
                <w:bCs/>
              </w:rPr>
              <w:t>0-2</w:t>
            </w:r>
            <w:r>
              <w:rPr>
                <w:rFonts w:hint="eastAsia" w:eastAsia="新宋体"/>
                <w:bCs/>
              </w:rPr>
              <w:t>分）</w:t>
            </w:r>
          </w:p>
          <w:p>
            <w:pPr>
              <w:adjustRightInd w:val="0"/>
              <w:snapToGrid w:val="0"/>
              <w:spacing w:line="400" w:lineRule="exact"/>
              <w:jc w:val="both"/>
              <w:rPr>
                <w:rFonts w:eastAsia="新宋体"/>
                <w:bCs/>
              </w:rPr>
            </w:pPr>
            <w:r>
              <w:rPr>
                <w:rFonts w:hint="eastAsia" w:eastAsia="新宋体"/>
                <w:bCs/>
              </w:rPr>
              <w:t>2.对措施和管理控制办法与本项目的特点和需求的关联度高，准确细致，切实可行情况进行打分。（</w:t>
            </w:r>
            <w:r>
              <w:rPr>
                <w:rFonts w:eastAsia="新宋体"/>
                <w:bCs/>
              </w:rPr>
              <w:t>0-8</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8</w:t>
            </w:r>
          </w:p>
        </w:tc>
        <w:tc>
          <w:tcPr>
            <w:tcW w:w="1532" w:type="dxa"/>
            <w:tcBorders>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投入本项目服务人员</w:t>
            </w:r>
          </w:p>
        </w:tc>
        <w:tc>
          <w:tcPr>
            <w:tcW w:w="871"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9分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1.项目组成员不少于30人，其中与投标人具有劳动关系的员工不少于10人，得3分，每少1人扣0.2分，扣完为止。（</w:t>
            </w:r>
            <w:r>
              <w:rPr>
                <w:rFonts w:eastAsia="新宋体"/>
                <w:bCs/>
              </w:rPr>
              <w:t>0-3</w:t>
            </w:r>
            <w:r>
              <w:rPr>
                <w:rFonts w:hint="eastAsia" w:eastAsia="新宋体"/>
                <w:bCs/>
              </w:rPr>
              <w:t>分）</w:t>
            </w:r>
          </w:p>
          <w:p>
            <w:pPr>
              <w:adjustRightInd w:val="0"/>
              <w:snapToGrid w:val="0"/>
              <w:spacing w:line="400" w:lineRule="exact"/>
              <w:jc w:val="both"/>
              <w:rPr>
                <w:rFonts w:eastAsia="新宋体"/>
                <w:bCs/>
              </w:rPr>
            </w:pPr>
            <w:r>
              <w:rPr>
                <w:rFonts w:hint="eastAsia" w:eastAsia="新宋体"/>
                <w:bCs/>
              </w:rPr>
              <w:t>2</w:t>
            </w:r>
            <w:r>
              <w:rPr>
                <w:rFonts w:eastAsia="新宋体"/>
                <w:bCs/>
              </w:rPr>
              <w:t>.</w:t>
            </w:r>
            <w:r>
              <w:rPr>
                <w:rFonts w:hint="eastAsia" w:eastAsia="新宋体"/>
                <w:bCs/>
              </w:rPr>
              <w:t>根据投标人为本项目建立测评团队的组织架构完善性，人员职责分工明确性和管理体系科学合理性等情况进行评分。（</w:t>
            </w:r>
            <w:r>
              <w:rPr>
                <w:rFonts w:eastAsia="新宋体"/>
                <w:bCs/>
              </w:rPr>
              <w:t>0-6</w:t>
            </w:r>
            <w:r>
              <w:rPr>
                <w:rFonts w:hint="eastAsia" w:eastAsia="新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9</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snapToGrid w:val="0"/>
              </w:rPr>
            </w:pPr>
            <w:r>
              <w:rPr>
                <w:rFonts w:eastAsia="新宋体"/>
                <w:bCs/>
                <w:snapToGrid w:val="0"/>
              </w:rPr>
              <w:t>优惠条件</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4分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eastAsia="新宋体"/>
                <w:bCs/>
              </w:rPr>
              <w:t>根据投标人提供的优惠条件情况进行打分。（0-4分）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10</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snapToGrid w:val="0"/>
              </w:rPr>
            </w:pPr>
            <w:r>
              <w:rPr>
                <w:rFonts w:hint="eastAsia" w:eastAsia="新宋体"/>
                <w:bCs/>
                <w:snapToGrid w:val="0"/>
              </w:rPr>
              <w:t>成果提交方式</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新宋体"/>
                <w:bCs/>
              </w:rPr>
            </w:pPr>
            <w:r>
              <w:rPr>
                <w:rFonts w:eastAsia="新宋体"/>
                <w:bCs/>
              </w:rPr>
              <w:t>6分</w:t>
            </w:r>
          </w:p>
        </w:tc>
        <w:tc>
          <w:tcPr>
            <w:tcW w:w="58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both"/>
              <w:rPr>
                <w:rFonts w:eastAsia="新宋体"/>
                <w:bCs/>
              </w:rPr>
            </w:pPr>
            <w:r>
              <w:rPr>
                <w:rFonts w:hint="eastAsia" w:eastAsia="新宋体"/>
                <w:bCs/>
              </w:rPr>
              <w:t>对评价</w:t>
            </w:r>
            <w:r>
              <w:rPr>
                <w:rFonts w:eastAsia="新宋体"/>
                <w:bCs/>
              </w:rPr>
              <w:t>数据和证据的提交</w:t>
            </w:r>
            <w:r>
              <w:rPr>
                <w:rFonts w:hint="eastAsia" w:eastAsia="新宋体"/>
                <w:bCs/>
              </w:rPr>
              <w:t>方式</w:t>
            </w:r>
            <w:r>
              <w:rPr>
                <w:rFonts w:eastAsia="新宋体"/>
                <w:bCs/>
              </w:rPr>
              <w:t>高效便捷、</w:t>
            </w:r>
            <w:r>
              <w:rPr>
                <w:rFonts w:hint="eastAsia" w:eastAsia="新宋体"/>
                <w:bCs/>
              </w:rPr>
              <w:t>安全性和保密性强，</w:t>
            </w:r>
            <w:r>
              <w:rPr>
                <w:rFonts w:eastAsia="新宋体"/>
                <w:bCs/>
              </w:rPr>
              <w:t>便于采购方审验、审核以及应用</w:t>
            </w:r>
            <w:r>
              <w:rPr>
                <w:rFonts w:hint="eastAsia" w:eastAsia="新宋体"/>
                <w:bCs/>
              </w:rPr>
              <w:t>的情况进行评分。</w:t>
            </w:r>
            <w:r>
              <w:rPr>
                <w:rFonts w:eastAsia="新宋体"/>
                <w:bCs/>
              </w:rPr>
              <w:t>（0-6分）</w:t>
            </w:r>
          </w:p>
        </w:tc>
      </w:tr>
    </w:tbl>
    <w:p>
      <w:pPr>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（二）价格分（满分10分）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报价得分的计算方法：价格分统一采用低价优先法计算，即满足招标文件要求且投标价格最低的投标报价为评标基准价，其价格分为满分。其他投标人的价格分统一按照下列公式计算: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价格分=（评标基准价/投标报价）×10分</w:t>
      </w:r>
    </w:p>
    <w:p>
      <w:pPr>
        <w:pStyle w:val="2"/>
        <w:ind w:firstLine="480"/>
      </w:pPr>
      <w:r>
        <w:br w:type="page"/>
      </w:r>
    </w:p>
    <w:p>
      <w:pPr>
        <w:ind w:firstLine="641"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三、采购方式和要求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本次采购</w:t>
      </w:r>
      <w:r>
        <w:rPr>
          <w:rFonts w:ascii="仿宋_GB2312" w:hAnsi="仿宋_GB2312" w:eastAsia="仿宋_GB2312" w:cs="仿宋_GB2312"/>
          <w:sz w:val="32"/>
          <w:szCs w:val="32"/>
          <w:lang w:val="en"/>
        </w:rPr>
        <w:t>采用综合评分法</w:t>
      </w:r>
      <w:r>
        <w:rPr>
          <w:rFonts w:hint="eastAsia" w:ascii="仿宋_GB2312" w:hAnsi="仿宋_GB2312" w:eastAsia="仿宋_GB2312" w:cs="仿宋_GB2312"/>
          <w:sz w:val="32"/>
          <w:szCs w:val="32"/>
          <w:lang w:val="en"/>
        </w:rPr>
        <w:t>进行评审</w:t>
      </w:r>
      <w:r>
        <w:rPr>
          <w:rFonts w:hint="eastAsia" w:ascii="仿宋_GB2312" w:hAnsi="仿宋_GB2312" w:eastAsia="仿宋_GB2312" w:cs="仿宋_GB2312"/>
          <w:sz w:val="32"/>
          <w:szCs w:val="32"/>
        </w:rPr>
        <w:t>。乙方必须明确对评价指标设计、项目实施安排以及项目人员配置等做出响应。</w:t>
      </w:r>
    </w:p>
    <w:p>
      <w:pPr>
        <w:pStyle w:val="28"/>
        <w:widowControl w:val="0"/>
        <w:numPr>
          <w:ilvl w:val="0"/>
          <w:numId w:val="5"/>
        </w:numPr>
        <w:ind w:firstLine="641"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项目采购响应文件编制与递交</w:t>
      </w:r>
    </w:p>
    <w:p>
      <w:pPr>
        <w:spacing w:line="560" w:lineRule="exact"/>
        <w:ind w:firstLine="640" w:firstLineChars="200"/>
        <w:rPr>
          <w:rFonts w:ascii="仿宋_GB2312" w:hAnsi="仿宋_GB2312" w:eastAsia="仿宋_GB2312" w:cs="仿宋_GB2312"/>
          <w:b/>
          <w:bCs/>
          <w:sz w:val="32"/>
          <w:szCs w:val="32"/>
        </w:rPr>
      </w:pPr>
      <w:r>
        <w:rPr>
          <w:rFonts w:hint="eastAsia" w:ascii="仿宋_GB2312" w:hAnsi="方正小标宋简体" w:eastAsia="仿宋_GB2312"/>
          <w:sz w:val="32"/>
          <w:szCs w:val="32"/>
        </w:rPr>
        <w:t>参选服务单位在参加比价采购开标时，需现场提交项目采购比选方案，其中需包括单位资质和过往业绩、人员安排和资历、项目实施方案、项目报价等相关内容，但不仅限于此，具体要求如下：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1.响应文件目录；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2.企业简介（含营业执照）；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.法人授权委托书和受委托人身份证原件及复印件（加盖单位公章）；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企业质量管理体系认证证书情况；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.2019年1月1日承接道路运输企业安全生产评价业绩；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.项目技术解决方案（包括对项目理解、评价指标和问卷、评价实施方案、人员配备、评价设施设备等内容）；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.项目报价（附报价明细）。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以上资料一式三份，密封报送。</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响应文件递交截止时间：2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响应文件递交地点：</w:t>
      </w:r>
      <w:r>
        <w:rPr>
          <w:rFonts w:hint="eastAsia" w:ascii="仿宋_GB2312" w:hAnsi="仿宋_GB2312" w:eastAsia="仿宋_GB2312" w:cs="仿宋_GB2312"/>
          <w:sz w:val="32"/>
          <w:szCs w:val="32"/>
          <w:lang w:eastAsia="zh-CN"/>
        </w:rPr>
        <w:t>温州市瓯江路</w:t>
      </w:r>
      <w:r>
        <w:rPr>
          <w:rFonts w:hint="eastAsia" w:ascii="仿宋_GB2312" w:hAnsi="仿宋_GB2312" w:eastAsia="仿宋_GB2312" w:cs="仿宋_GB2312"/>
          <w:sz w:val="32"/>
          <w:szCs w:val="32"/>
          <w:lang w:val="en-US" w:eastAsia="zh-CN"/>
        </w:rPr>
        <w:t>1155号交通大楼309室</w:t>
      </w:r>
      <w:r>
        <w:rPr>
          <w:rFonts w:hint="eastAsia" w:ascii="仿宋_GB2312" w:hAnsi="仿宋_GB2312" w:eastAsia="仿宋_GB2312" w:cs="仿宋_GB2312"/>
          <w:sz w:val="32"/>
          <w:szCs w:val="32"/>
        </w:rPr>
        <w:t>，收件人：</w:t>
      </w:r>
      <w:r>
        <w:rPr>
          <w:rFonts w:hint="eastAsia" w:ascii="仿宋_GB2312" w:hAnsi="仿宋_GB2312" w:eastAsia="仿宋_GB2312" w:cs="仿宋_GB2312"/>
          <w:sz w:val="32"/>
          <w:szCs w:val="32"/>
          <w:lang w:eastAsia="zh-CN"/>
        </w:rPr>
        <w:t>徐先生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0577-88605290</w:t>
      </w:r>
      <w:r>
        <w:rPr>
          <w:rFonts w:hint="eastAsia" w:ascii="仿宋_GB2312" w:hAnsi="仿宋_GB2312" w:eastAsia="仿宋_GB2312" w:cs="仿宋_GB2312"/>
          <w:sz w:val="32"/>
          <w:szCs w:val="32"/>
        </w:rPr>
        <w:t>，逾期送达的或未送达至指定地点的，采购人不予受理。</w:t>
      </w:r>
    </w:p>
    <w:p>
      <w:pPr>
        <w:pStyle w:val="28"/>
        <w:ind w:left="640"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五、项目费用和支付要求</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本项目报价包括完成本项目提供相关服务的人员工资、利润、税金、其它相关费用等完成本项目所需的一切本身和不可或缺的所有工作开支、合同包含的所有风险、责任等各项全部费用，由服务单位包干使用。</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合同签订后七日内，甲方向乙方支付50%合同款，项目结束后甲方支付乙方合同金额的剩余款项，正式发票随付款进度及时提供。</w:t>
      </w:r>
    </w:p>
    <w:p>
      <w:pPr>
        <w:pStyle w:val="28"/>
        <w:ind w:left="640"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z w:val="32"/>
          <w:szCs w:val="32"/>
          <w:lang w:eastAsia="zh-CN"/>
        </w:rPr>
        <w:t>比选</w:t>
      </w:r>
      <w:r>
        <w:rPr>
          <w:rFonts w:hint="eastAsia" w:ascii="仿宋_GB2312" w:hAnsi="仿宋_GB2312" w:eastAsia="仿宋_GB2312" w:cs="仿宋_GB2312"/>
          <w:b/>
          <w:bCs/>
          <w:sz w:val="32"/>
          <w:szCs w:val="32"/>
        </w:rPr>
        <w:t>时间和地点</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1.时间：202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2.地点：</w:t>
      </w:r>
      <w:r>
        <w:rPr>
          <w:rFonts w:hint="eastAsia" w:ascii="仿宋_GB2312" w:hAnsi="仿宋_GB2312" w:eastAsia="仿宋_GB2312" w:cs="仿宋_GB2312"/>
          <w:sz w:val="32"/>
          <w:szCs w:val="32"/>
          <w:lang w:eastAsia="zh-CN"/>
        </w:rPr>
        <w:t>温州市瓯江路</w:t>
      </w:r>
      <w:r>
        <w:rPr>
          <w:rFonts w:hint="eastAsia" w:ascii="仿宋_GB2312" w:hAnsi="仿宋_GB2312" w:eastAsia="仿宋_GB2312" w:cs="仿宋_GB2312"/>
          <w:sz w:val="32"/>
          <w:szCs w:val="32"/>
          <w:lang w:val="en-US" w:eastAsia="zh-CN"/>
        </w:rPr>
        <w:t>1155号</w:t>
      </w:r>
      <w:r>
        <w:rPr>
          <w:rFonts w:hint="eastAsia" w:ascii="仿宋_GB2312" w:hAnsi="仿宋_GB2312" w:eastAsia="仿宋_GB2312" w:cs="仿宋_GB2312"/>
          <w:sz w:val="32"/>
          <w:szCs w:val="32"/>
        </w:rPr>
        <w:t>温州交通大楼</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3号</w:t>
      </w:r>
      <w:r>
        <w:rPr>
          <w:rFonts w:ascii="仿宋_GB2312" w:hAnsi="仿宋_GB2312" w:eastAsia="仿宋_GB2312" w:cs="仿宋_GB2312"/>
          <w:sz w:val="32"/>
          <w:szCs w:val="32"/>
        </w:rPr>
        <w:t>会议室</w:t>
      </w:r>
      <w:r>
        <w:rPr>
          <w:rFonts w:hint="eastAsia" w:ascii="仿宋_GB2312" w:hAnsi="仿宋_GB2312" w:eastAsia="仿宋_GB2312" w:cs="仿宋_GB2312"/>
          <w:sz w:val="32"/>
          <w:szCs w:val="32"/>
        </w:rPr>
        <w:t>；</w:t>
      </w:r>
    </w:p>
    <w:p>
      <w:pPr>
        <w:pStyle w:val="2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3.本次采购原则上按照综合评分法进行评审，比选结果另行通知。</w:t>
      </w:r>
    </w:p>
    <w:p>
      <w:pPr>
        <w:pStyle w:val="28"/>
        <w:ind w:left="640"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七、其他事项</w:t>
      </w:r>
    </w:p>
    <w:p>
      <w:pPr>
        <w:spacing w:line="560" w:lineRule="exact"/>
        <w:ind w:firstLine="640" w:firstLineChars="200"/>
        <w:rPr>
          <w:rFonts w:ascii="仿宋_GB2312" w:hAnsi="方正小标宋简体" w:eastAsia="仿宋_GB2312"/>
          <w:sz w:val="32"/>
          <w:szCs w:val="32"/>
        </w:rPr>
      </w:pPr>
      <w:r>
        <w:rPr>
          <w:rFonts w:hint="eastAsia" w:ascii="仿宋_GB2312" w:hAnsi="方正小标宋简体" w:eastAsia="仿宋_GB2312"/>
          <w:sz w:val="32"/>
          <w:szCs w:val="32"/>
        </w:rPr>
        <w:t>比选结果经公示后，</w:t>
      </w:r>
      <w:r>
        <w:rPr>
          <w:rFonts w:ascii="仿宋_GB2312" w:hAnsi="方正小标宋简体" w:eastAsia="仿宋_GB2312"/>
          <w:sz w:val="32"/>
          <w:szCs w:val="32"/>
          <w:lang w:val="en"/>
        </w:rPr>
        <w:t>7</w:t>
      </w:r>
      <w:r>
        <w:rPr>
          <w:rFonts w:hint="eastAsia" w:ascii="仿宋_GB2312" w:hAnsi="方正小标宋简体" w:eastAsia="仿宋_GB2312"/>
          <w:sz w:val="32"/>
          <w:szCs w:val="32"/>
        </w:rPr>
        <w:t>天内签订项目合同。</w:t>
      </w:r>
    </w:p>
    <w:p>
      <w:pPr>
        <w:ind w:firstLine="640" w:firstLineChars="200"/>
        <w:rPr>
          <w:rFonts w:ascii="仿宋_GB2312" w:hAnsi="仿宋_GB2312" w:eastAsia="仿宋_GB2312" w:cs="仿宋_GB2312"/>
          <w:sz w:val="32"/>
          <w:szCs w:val="32"/>
        </w:rPr>
      </w:pPr>
    </w:p>
    <w:p>
      <w:pPr>
        <w:pStyle w:val="2"/>
        <w:ind w:firstLine="480"/>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温州市公路与运输管理中心</w:t>
      </w:r>
    </w:p>
    <w:p>
      <w:pPr>
        <w:jc w:val="right"/>
        <w:rPr>
          <w:rFonts w:ascii="Arial" w:hAnsi="Arial" w:eastAsia="仿宋" w:cstheme="minorBidi"/>
          <w:kern w:val="2"/>
          <w:sz w:val="30"/>
          <w:szCs w:val="30"/>
        </w:rPr>
      </w:pPr>
      <w:r>
        <w:rPr>
          <w:rFonts w:hint="default" w:ascii="仿宋_GB2312" w:hAnsi="仿宋_GB2312" w:eastAsia="仿宋_GB2312" w:cs="仿宋_GB2312"/>
          <w:sz w:val="32"/>
          <w:szCs w:val="32"/>
          <w:woUserID w:val="1"/>
        </w:rPr>
        <w:t>2022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woUserID w:val="1"/>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woUserID w:val="1"/>
        </w:rPr>
        <w:t>23</w:t>
      </w:r>
      <w:bookmarkStart w:id="0" w:name="_GoBack"/>
      <w:bookmarkEnd w:id="0"/>
      <w:r>
        <w:rPr>
          <w:rFonts w:hint="eastAsia" w:ascii="仿宋_GB2312" w:hAnsi="仿宋_GB2312" w:eastAsia="仿宋_GB2312" w:cs="仿宋_GB2312"/>
          <w:sz w:val="32"/>
          <w:szCs w:val="32"/>
        </w:rPr>
        <w:t>日</w:t>
      </w:r>
    </w:p>
    <w:sectPr>
      <w:footerReference r:id="rId3" w:type="even"/>
      <w:type w:val="oddPage"/>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等线 Light">
    <w:altName w:val="汉仪仿宋KW"/>
    <w:panose1 w:val="02010600030101010101"/>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方正小标宋_GBK">
    <w:altName w:val="汉仪书宋二KW"/>
    <w:panose1 w:val="02000000000000000000"/>
    <w:charset w:val="86"/>
    <w:family w:val="script"/>
    <w:pitch w:val="default"/>
    <w:sig w:usb0="00000000" w:usb1="0000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汉仪仿宋KW"/>
    <w:panose1 w:val="02010609030101010101"/>
    <w:charset w:val="86"/>
    <w:family w:val="modern"/>
    <w:pitch w:val="default"/>
    <w:sig w:usb0="00000000" w:usb1="00000000" w:usb2="00000000" w:usb3="00000000" w:csb0="00040000" w:csb1="00000000"/>
  </w:font>
  <w:font w:name="新宋体">
    <w:altName w:val="汉仪书宋二KW"/>
    <w:panose1 w:val="02010609030101010101"/>
    <w:charset w:val="86"/>
    <w:family w:val="modern"/>
    <w:pitch w:val="default"/>
    <w:sig w:usb0="00000000" w:usb1="00000000" w:usb2="00000006" w:usb3="00000000" w:csb0="00040001" w:csb1="00000000"/>
  </w:font>
  <w:font w:name="方正小标宋简体">
    <w:altName w:val="汉仪书宋二KW"/>
    <w:panose1 w:val="02000000000000000000"/>
    <w:charset w:val="86"/>
    <w:family w:val="auto"/>
    <w:pitch w:val="default"/>
    <w:sig w:usb0="00000000" w:usb1="00000000" w:usb2="00000012" w:usb3="00000000" w:csb0="00040001"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sdt>
        <w:sdtPr>
          <w:id w:val="0"/>
          <w:docPartObj>
            <w:docPartGallery w:val="autotext"/>
          </w:docPartObj>
        </w:sdtPr>
        <w:sdtContent>
          <w:p>
            <w:pPr>
              <w:pStyle w:val="88"/>
            </w:pPr>
            <w:r>
              <w:rPr>
                <w:rFonts w:hint="eastAsia" w:ascii="仿宋" w:hAnsi="仿宋"/>
                <w:lang w:val="zh-CN"/>
              </w:rPr>
              <w:t>第</w:t>
            </w:r>
            <w:r>
              <w:rPr>
                <w:rFonts w:ascii="仿宋" w:hAnsi="仿宋"/>
              </w:rPr>
              <w:fldChar w:fldCharType="begin"/>
            </w:r>
            <w:r>
              <w:rPr>
                <w:rFonts w:ascii="仿宋" w:hAnsi="仿宋"/>
              </w:rPr>
              <w:instrText xml:space="preserve">PAGE</w:instrText>
            </w:r>
            <w:r>
              <w:rPr>
                <w:rFonts w:ascii="仿宋" w:hAnsi="仿宋"/>
              </w:rPr>
              <w:fldChar w:fldCharType="separate"/>
            </w:r>
            <w:r>
              <w:rPr>
                <w:rFonts w:ascii="仿宋" w:hAnsi="仿宋"/>
                <w:lang w:val="zh-CN"/>
              </w:rPr>
              <w:t>2</w:t>
            </w:r>
            <w:r>
              <w:rPr>
                <w:rFonts w:ascii="仿宋" w:hAnsi="仿宋"/>
              </w:rPr>
              <w:fldChar w:fldCharType="end"/>
            </w:r>
            <w:r>
              <w:rPr>
                <w:rFonts w:hint="eastAsia" w:ascii="仿宋" w:hAnsi="仿宋"/>
              </w:rPr>
              <w:t>页</w:t>
            </w:r>
            <w:r>
              <w:rPr>
                <w:rFonts w:ascii="仿宋" w:hAnsi="仿宋"/>
                <w:lang w:val="zh-CN"/>
              </w:rPr>
              <w:t>/</w:t>
            </w:r>
            <w:r>
              <w:rPr>
                <w:rFonts w:hint="eastAsia" w:ascii="仿宋" w:hAnsi="仿宋"/>
                <w:lang w:val="zh-CN"/>
              </w:rPr>
              <w:t>共</w:t>
            </w:r>
            <w:r>
              <w:rPr>
                <w:rFonts w:ascii="仿宋" w:hAnsi="仿宋"/>
              </w:rPr>
              <w:fldChar w:fldCharType="begin"/>
            </w:r>
            <w:r>
              <w:rPr>
                <w:rFonts w:ascii="仿宋" w:hAnsi="仿宋"/>
              </w:rPr>
              <w:instrText xml:space="preserve">NUMPAGES</w:instrText>
            </w:r>
            <w:r>
              <w:rPr>
                <w:rFonts w:ascii="仿宋" w:hAnsi="仿宋"/>
              </w:rPr>
              <w:fldChar w:fldCharType="separate"/>
            </w:r>
            <w:r>
              <w:rPr>
                <w:rFonts w:ascii="仿宋" w:hAnsi="仿宋"/>
                <w:lang w:val="zh-CN"/>
              </w:rPr>
              <w:t>2</w:t>
            </w:r>
            <w:r>
              <w:rPr>
                <w:rFonts w:ascii="仿宋" w:hAnsi="仿宋"/>
              </w:rPr>
              <w:fldChar w:fldCharType="end"/>
            </w:r>
            <w:r>
              <w:rPr>
                <w:rFonts w:hint="eastAsia" w:ascii="仿宋" w:hAnsi="仿宋"/>
              </w:rPr>
              <w:t>页</w:t>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D52C0"/>
    <w:multiLevelType w:val="singleLevel"/>
    <w:tmpl w:val="8F7D52C0"/>
    <w:lvl w:ilvl="0" w:tentative="0">
      <w:start w:val="4"/>
      <w:numFmt w:val="chineseCounting"/>
      <w:suff w:val="nothing"/>
      <w:lvlText w:val="%1、"/>
      <w:lvlJc w:val="left"/>
      <w:rPr>
        <w:rFonts w:hint="eastAsia"/>
      </w:rPr>
    </w:lvl>
  </w:abstractNum>
  <w:abstractNum w:abstractNumId="1">
    <w:nsid w:val="D7CA5686"/>
    <w:multiLevelType w:val="singleLevel"/>
    <w:tmpl w:val="D7CA5686"/>
    <w:lvl w:ilvl="0" w:tentative="0">
      <w:start w:val="1"/>
      <w:numFmt w:val="decimal"/>
      <w:lvlText w:val="%1."/>
      <w:lvlJc w:val="left"/>
      <w:pPr>
        <w:tabs>
          <w:tab w:val="left" w:pos="312"/>
        </w:tabs>
      </w:pPr>
    </w:lvl>
  </w:abstractNum>
  <w:abstractNum w:abstractNumId="2">
    <w:nsid w:val="38362092"/>
    <w:multiLevelType w:val="multilevel"/>
    <w:tmpl w:val="38362092"/>
    <w:lvl w:ilvl="0" w:tentative="0">
      <w:start w:val="1"/>
      <w:numFmt w:val="chineseCountingThousand"/>
      <w:lvlText w:val="第%1章"/>
      <w:lvlJc w:val="center"/>
      <w:pPr>
        <w:tabs>
          <w:tab w:val="left" w:pos="964"/>
        </w:tabs>
        <w:ind w:left="0" w:firstLine="288"/>
      </w:pPr>
      <w:rPr>
        <w:rFonts w:hint="default" w:ascii="Arial" w:hAnsi="Arial" w:eastAsia="黑体"/>
        <w:b/>
        <w:bCs w:val="0"/>
        <w:i w:val="0"/>
        <w:iCs w:val="0"/>
        <w:caps w:val="0"/>
        <w:smallCaps w:val="0"/>
        <w:strike w:val="0"/>
        <w:dstrike w:val="0"/>
        <w:outline w:val="0"/>
        <w:shadow w:val="0"/>
        <w:emboss w:val="0"/>
        <w:imprint w:val="0"/>
        <w:vanish w:val="0"/>
        <w:spacing w:val="0"/>
        <w:position w:val="0"/>
        <w:sz w:val="36"/>
        <w:u w:val="none"/>
        <w:vertAlign w:val="baseline"/>
        <w14:ligatures w14:val="none"/>
        <w14:numForm w14:val="default"/>
        <w14:numSpacing w14:val="default"/>
        <w14:cntxtalts w14:val="0"/>
      </w:rPr>
    </w:lvl>
    <w:lvl w:ilvl="1" w:tentative="0">
      <w:start w:val="1"/>
      <w:numFmt w:val="decimal"/>
      <w:isLgl/>
      <w:suff w:val="space"/>
      <w:lvlText w:val="%1.%2"/>
      <w:lvlJc w:val="left"/>
      <w:pPr>
        <w:ind w:left="0" w:firstLine="0"/>
      </w:pPr>
      <w:rPr>
        <w:rFonts w:hint="default" w:ascii="Arial" w:hAnsi="Arial" w:eastAsia="黑体"/>
        <w:b/>
        <w:i w:val="0"/>
        <w:sz w:val="32"/>
      </w:rPr>
    </w:lvl>
    <w:lvl w:ilvl="2" w:tentative="0">
      <w:start w:val="1"/>
      <w:numFmt w:val="decimal"/>
      <w:isLgl/>
      <w:suff w:val="space"/>
      <w:lvlText w:val="%1.%2.%3"/>
      <w:lvlJc w:val="left"/>
      <w:pPr>
        <w:ind w:left="0" w:firstLine="0"/>
      </w:pPr>
      <w:rPr>
        <w:rFonts w:hint="default" w:ascii="Arial" w:hAnsi="Arial" w:eastAsia="黑体"/>
        <w:b/>
        <w:i w:val="0"/>
        <w:sz w:val="30"/>
      </w:rPr>
    </w:lvl>
    <w:lvl w:ilvl="3" w:tentative="0">
      <w:start w:val="1"/>
      <w:numFmt w:val="decimal"/>
      <w:isLgl/>
      <w:suff w:val="space"/>
      <w:lvlText w:val="(%4)"/>
      <w:lvlJc w:val="left"/>
      <w:pPr>
        <w:ind w:left="0" w:firstLine="601"/>
      </w:pPr>
      <w:rPr>
        <w:rFonts w:hint="default" w:ascii="Arial" w:hAnsi="Arial" w:eastAsia="宋体"/>
        <w:b/>
        <w:i w:val="0"/>
        <w:sz w:val="30"/>
      </w:rPr>
    </w:lvl>
    <w:lvl w:ilvl="4" w:tentative="0">
      <w:start w:val="1"/>
      <w:numFmt w:val="decimal"/>
      <w:isLgl/>
      <w:suff w:val="nothing"/>
      <w:lvlText w:val="%5）"/>
      <w:lvlJc w:val="left"/>
      <w:pPr>
        <w:ind w:left="0" w:firstLine="601"/>
      </w:pPr>
      <w:rPr>
        <w:rFonts w:hint="default" w:ascii="Arial" w:hAnsi="Arial" w:eastAsia="仿宋"/>
        <w:b/>
        <w:i w:val="0"/>
        <w:sz w:val="30"/>
      </w:rPr>
    </w:lvl>
    <w:lvl w:ilvl="5" w:tentative="0">
      <w:start w:val="1"/>
      <w:numFmt w:val="decimal"/>
      <w:isLgl/>
      <w:suff w:val="space"/>
      <w:lvlText w:val="%1.%2.%3.%4.%5.%6"/>
      <w:lvlJc w:val="left"/>
      <w:pPr>
        <w:ind w:left="0" w:firstLine="0"/>
      </w:pPr>
      <w:rPr>
        <w:rFonts w:hint="default" w:ascii="Arial" w:hAnsi="Arial" w:eastAsia="仿宋"/>
        <w:b/>
        <w:i w:val="0"/>
        <w:sz w:val="30"/>
      </w:rPr>
    </w:lvl>
    <w:lvl w:ilvl="6" w:tentative="0">
      <w:start w:val="1"/>
      <w:numFmt w:val="decimal"/>
      <w:pStyle w:val="10"/>
      <w:isLgl/>
      <w:suff w:val="space"/>
      <w:lvlText w:val="%1.%2.%3.%4.%5.%6.%7"/>
      <w:lvlJc w:val="left"/>
      <w:pPr>
        <w:ind w:left="0" w:firstLine="0"/>
      </w:pPr>
      <w:rPr>
        <w:rFonts w:hint="default" w:ascii="Arial" w:hAnsi="Arial" w:eastAsia="仿宋"/>
        <w:b/>
        <w:i w:val="0"/>
        <w:sz w:val="30"/>
      </w:rPr>
    </w:lvl>
    <w:lvl w:ilvl="7" w:tentative="0">
      <w:start w:val="1"/>
      <w:numFmt w:val="decimal"/>
      <w:pStyle w:val="11"/>
      <w:isLgl/>
      <w:suff w:val="space"/>
      <w:lvlText w:val="(%8)"/>
      <w:lvlJc w:val="left"/>
      <w:pPr>
        <w:ind w:left="0" w:firstLine="601"/>
      </w:pPr>
      <w:rPr>
        <w:rFonts w:hint="default" w:ascii="Arial" w:hAnsi="Arial" w:eastAsia="仿宋"/>
        <w:b/>
        <w:i w:val="0"/>
        <w:sz w:val="30"/>
      </w:rPr>
    </w:lvl>
    <w:lvl w:ilvl="8" w:tentative="0">
      <w:start w:val="1"/>
      <w:numFmt w:val="chineseCountingThousand"/>
      <w:suff w:val="nothing"/>
      <w:lvlText w:val="第%9、"/>
      <w:lvlJc w:val="left"/>
      <w:pPr>
        <w:ind w:left="0" w:firstLine="601"/>
      </w:pPr>
      <w:rPr>
        <w:rFonts w:hint="default" w:ascii="Arial" w:hAnsi="Arial" w:eastAsia="仿宋"/>
        <w:b w:val="0"/>
        <w:i w:val="0"/>
        <w:sz w:val="30"/>
      </w:rPr>
    </w:lvl>
  </w:abstractNum>
  <w:abstractNum w:abstractNumId="3">
    <w:nsid w:val="42F32CE5"/>
    <w:multiLevelType w:val="multilevel"/>
    <w:tmpl w:val="42F32CE5"/>
    <w:lvl w:ilvl="0" w:tentative="0">
      <w:start w:val="1"/>
      <w:numFmt w:val="chineseCountingThousand"/>
      <w:pStyle w:val="30"/>
      <w:suff w:val="nothing"/>
      <w:lvlText w:val="%1、"/>
      <w:lvlJc w:val="left"/>
      <w:pPr>
        <w:ind w:left="0" w:firstLine="0"/>
      </w:pPr>
      <w:rPr>
        <w:rFonts w:hint="default" w:ascii="Arial" w:hAnsi="Arial" w:eastAsia="黑体"/>
        <w:b/>
        <w:i w:val="0"/>
        <w:color w:val="auto"/>
        <w:sz w:val="36"/>
      </w:rPr>
    </w:lvl>
    <w:lvl w:ilvl="1" w:tentative="0">
      <w:start w:val="1"/>
      <w:numFmt w:val="chineseCountingThousand"/>
      <w:pStyle w:val="31"/>
      <w:suff w:val="space"/>
      <w:lvlText w:val="(%2)"/>
      <w:lvlJc w:val="left"/>
      <w:pPr>
        <w:ind w:left="0" w:firstLine="601"/>
      </w:pPr>
      <w:rPr>
        <w:rFonts w:hint="default" w:ascii="Arial" w:hAnsi="Arial" w:eastAsia="黑体"/>
        <w:b/>
        <w:i w:val="0"/>
        <w:sz w:val="32"/>
      </w:rPr>
    </w:lvl>
    <w:lvl w:ilvl="2" w:tentative="0">
      <w:start w:val="1"/>
      <w:numFmt w:val="decimal"/>
      <w:pStyle w:val="35"/>
      <w:suff w:val="space"/>
      <w:lvlText w:val="%3."/>
      <w:lvlJc w:val="left"/>
      <w:pPr>
        <w:ind w:left="0" w:firstLine="601"/>
      </w:pPr>
      <w:rPr>
        <w:rFonts w:hint="default" w:ascii="Arial" w:hAnsi="Arial" w:eastAsia="黑体"/>
        <w:b/>
        <w:i w:val="0"/>
        <w:sz w:val="32"/>
      </w:rPr>
    </w:lvl>
    <w:lvl w:ilvl="3" w:tentative="0">
      <w:start w:val="1"/>
      <w:numFmt w:val="decimal"/>
      <w:pStyle w:val="48"/>
      <w:suff w:val="space"/>
      <w:lvlText w:val="(%3)"/>
      <w:lvlJc w:val="left"/>
      <w:pPr>
        <w:ind w:left="0" w:firstLine="601"/>
      </w:pPr>
      <w:rPr>
        <w:rFonts w:hint="default" w:ascii="Arial" w:hAnsi="Arial" w:eastAsia="宋体"/>
        <w:b/>
        <w:i w:val="0"/>
        <w:sz w:val="32"/>
      </w:rPr>
    </w:lvl>
    <w:lvl w:ilvl="4" w:tentative="0">
      <w:start w:val="1"/>
      <w:numFmt w:val="upperLetter"/>
      <w:pStyle w:val="51"/>
      <w:suff w:val="space"/>
      <w:lvlText w:val="%5."/>
      <w:lvlJc w:val="left"/>
      <w:pPr>
        <w:ind w:left="0" w:firstLine="601"/>
      </w:pPr>
      <w:rPr>
        <w:rFonts w:hint="default" w:ascii="Arial" w:hAnsi="Arial" w:eastAsia="仿宋"/>
        <w:b/>
        <w:i w:val="0"/>
        <w:sz w:val="30"/>
      </w:rPr>
    </w:lvl>
    <w:lvl w:ilvl="5" w:tentative="0">
      <w:start w:val="1"/>
      <w:numFmt w:val="lowerLetter"/>
      <w:pStyle w:val="55"/>
      <w:suff w:val="space"/>
      <w:lvlText w:val="%6."/>
      <w:lvlJc w:val="left"/>
      <w:pPr>
        <w:ind w:left="0" w:firstLine="601"/>
      </w:pPr>
      <w:rPr>
        <w:rFonts w:hint="default" w:ascii="Arial" w:hAnsi="Arial" w:eastAsia="仿宋"/>
        <w:b/>
        <w:i w:val="0"/>
        <w:sz w:val="30"/>
      </w:rPr>
    </w:lvl>
    <w:lvl w:ilvl="6" w:tentative="0">
      <w:start w:val="1"/>
      <w:numFmt w:val="decimal"/>
      <w:pStyle w:val="57"/>
      <w:suff w:val="space"/>
      <w:lvlText w:val="%7."/>
      <w:lvlJc w:val="left"/>
      <w:pPr>
        <w:ind w:left="0" w:firstLine="601"/>
      </w:pPr>
      <w:rPr>
        <w:rFonts w:hint="default" w:ascii="Arial" w:hAnsi="Arial" w:eastAsia="仿宋"/>
        <w:b w:val="0"/>
        <w:i w:val="0"/>
        <w:sz w:val="30"/>
      </w:rPr>
    </w:lvl>
    <w:lvl w:ilvl="7" w:tentative="0">
      <w:start w:val="1"/>
      <w:numFmt w:val="decimal"/>
      <w:pStyle w:val="63"/>
      <w:suff w:val="space"/>
      <w:lvlText w:val="%7.%8"/>
      <w:lvlJc w:val="left"/>
      <w:pPr>
        <w:ind w:left="0" w:firstLine="601"/>
      </w:pPr>
      <w:rPr>
        <w:rFonts w:hint="default" w:ascii="Arial" w:hAnsi="Arial" w:eastAsia="仿宋"/>
        <w:b w:val="0"/>
        <w:i w:val="0"/>
        <w:sz w:val="30"/>
      </w:rPr>
    </w:lvl>
    <w:lvl w:ilvl="8" w:tentative="0">
      <w:start w:val="1"/>
      <w:numFmt w:val="chineseCountingThousand"/>
      <w:pStyle w:val="67"/>
      <w:suff w:val="nothing"/>
      <w:lvlText w:val="第%9、"/>
      <w:lvlJc w:val="left"/>
      <w:pPr>
        <w:ind w:left="0" w:firstLine="601"/>
      </w:pPr>
      <w:rPr>
        <w:rFonts w:hint="default" w:ascii="Arial" w:hAnsi="Arial" w:eastAsia="仿宋"/>
        <w:b w:val="0"/>
        <w:i w:val="0"/>
        <w:sz w:val="30"/>
      </w:rPr>
    </w:lvl>
  </w:abstractNum>
  <w:abstractNum w:abstractNumId="4">
    <w:nsid w:val="656101AF"/>
    <w:multiLevelType w:val="multilevel"/>
    <w:tmpl w:val="656101AF"/>
    <w:lvl w:ilvl="0" w:tentative="0">
      <w:start w:val="1"/>
      <w:numFmt w:val="chineseCountingThousand"/>
      <w:pStyle w:val="3"/>
      <w:suff w:val="nothing"/>
      <w:lvlText w:val="第%1章  "/>
      <w:lvlJc w:val="left"/>
      <w:pPr>
        <w:ind w:left="0" w:firstLine="0"/>
      </w:pPr>
      <w:rPr>
        <w:rFonts w:hint="eastAsia" w:ascii="Arial" w:hAnsi="Arial" w:eastAsia="黑体"/>
        <w:b/>
        <w:bCs/>
        <w:i w:val="0"/>
        <w:iCs w:val="0"/>
        <w:caps w:val="0"/>
        <w:smallCaps w:val="0"/>
        <w:strike w:val="0"/>
        <w:dstrike w:val="0"/>
        <w:outline w:val="0"/>
        <w:shadow w:val="0"/>
        <w:emboss w:val="0"/>
        <w:imprint w:val="0"/>
        <w:vanish w:val="0"/>
        <w:spacing w:val="0"/>
        <w:position w:val="0"/>
        <w:sz w:val="36"/>
        <w:u w:val="none"/>
        <w:vertAlign w:val="baseline"/>
        <w14:ligatures w14:val="none"/>
        <w14:numForm w14:val="default"/>
        <w14:numSpacing w14:val="default"/>
        <w14:cntxtalts w14:val="0"/>
      </w:rPr>
    </w:lvl>
    <w:lvl w:ilvl="1" w:tentative="0">
      <w:start w:val="1"/>
      <w:numFmt w:val="decimal"/>
      <w:pStyle w:val="5"/>
      <w:isLgl/>
      <w:suff w:val="space"/>
      <w:lvlText w:val="%1.%2"/>
      <w:lvlJc w:val="left"/>
      <w:pPr>
        <w:ind w:left="0" w:firstLine="0"/>
      </w:pPr>
      <w:rPr>
        <w:rFonts w:hint="eastAsia" w:ascii="Arial" w:hAnsi="Arial" w:eastAsia="黑体"/>
        <w:b/>
        <w:i w:val="0"/>
        <w:sz w:val="32"/>
      </w:rPr>
    </w:lvl>
    <w:lvl w:ilvl="2" w:tentative="0">
      <w:start w:val="1"/>
      <w:numFmt w:val="decimal"/>
      <w:pStyle w:val="6"/>
      <w:isLgl/>
      <w:suff w:val="space"/>
      <w:lvlText w:val="%1.%2.%3"/>
      <w:lvlJc w:val="left"/>
      <w:pPr>
        <w:ind w:left="0" w:firstLine="0"/>
      </w:pPr>
      <w:rPr>
        <w:rFonts w:hint="default" w:ascii="Arial" w:hAnsi="Arial" w:eastAsia="黑体"/>
        <w:b/>
        <w:i w:val="0"/>
        <w:sz w:val="30"/>
      </w:rPr>
    </w:lvl>
    <w:lvl w:ilvl="3" w:tentative="0">
      <w:start w:val="1"/>
      <w:numFmt w:val="decimal"/>
      <w:pStyle w:val="7"/>
      <w:isLgl/>
      <w:suff w:val="space"/>
      <w:lvlText w:val="%1.%2.%3.%4"/>
      <w:lvlJc w:val="left"/>
      <w:pPr>
        <w:ind w:left="0" w:firstLine="0"/>
      </w:pPr>
      <w:rPr>
        <w:rFonts w:hint="default" w:ascii="Arial" w:hAnsi="Arial" w:eastAsia="宋体"/>
        <w:b/>
        <w:i w:val="0"/>
        <w:sz w:val="30"/>
      </w:rPr>
    </w:lvl>
    <w:lvl w:ilvl="4" w:tentative="0">
      <w:start w:val="1"/>
      <w:numFmt w:val="decimal"/>
      <w:pStyle w:val="8"/>
      <w:suff w:val="space"/>
      <w:lvlText w:val="(%5)"/>
      <w:lvlJc w:val="left"/>
      <w:pPr>
        <w:ind w:left="0" w:firstLine="601"/>
      </w:pPr>
      <w:rPr>
        <w:rFonts w:hint="default" w:ascii="Arial" w:hAnsi="Arial" w:eastAsia="仿宋"/>
        <w:b/>
        <w:i w:val="0"/>
        <w:sz w:val="30"/>
      </w:rPr>
    </w:lvl>
    <w:lvl w:ilvl="5" w:tentative="0">
      <w:start w:val="1"/>
      <w:numFmt w:val="decimal"/>
      <w:pStyle w:val="9"/>
      <w:suff w:val="space"/>
      <w:lvlText w:val="%6)"/>
      <w:lvlJc w:val="left"/>
      <w:pPr>
        <w:ind w:left="0" w:firstLine="601"/>
      </w:pPr>
      <w:rPr>
        <w:rFonts w:hint="default" w:ascii="Arial" w:hAnsi="Arial" w:eastAsia="仿宋"/>
        <w:b/>
        <w:i w:val="0"/>
        <w:sz w:val="30"/>
      </w:rPr>
    </w:lvl>
    <w:lvl w:ilvl="6" w:tentative="0">
      <w:start w:val="1"/>
      <w:numFmt w:val="decimal"/>
      <w:pStyle w:val="58"/>
      <w:suff w:val="space"/>
      <w:lvlText w:val="%7."/>
      <w:lvlJc w:val="left"/>
      <w:pPr>
        <w:ind w:left="0" w:firstLine="601"/>
      </w:pPr>
      <w:rPr>
        <w:rFonts w:hint="default" w:ascii="Arial" w:hAnsi="Arial" w:eastAsia="仿宋"/>
        <w:b w:val="0"/>
        <w:i w:val="0"/>
        <w:color w:val="auto"/>
        <w:sz w:val="30"/>
      </w:rPr>
    </w:lvl>
    <w:lvl w:ilvl="7" w:tentative="0">
      <w:start w:val="1"/>
      <w:numFmt w:val="decimal"/>
      <w:pStyle w:val="64"/>
      <w:suff w:val="space"/>
      <w:lvlText w:val="%7.%8"/>
      <w:lvlJc w:val="left"/>
      <w:pPr>
        <w:ind w:left="0" w:firstLine="601"/>
      </w:pPr>
      <w:rPr>
        <w:rFonts w:hint="default" w:ascii="Arial" w:hAnsi="Arial" w:eastAsia="仿宋"/>
        <w:b w:val="0"/>
        <w:i w:val="0"/>
        <w:color w:val="auto"/>
        <w:sz w:val="30"/>
      </w:rPr>
    </w:lvl>
    <w:lvl w:ilvl="8" w:tentative="0">
      <w:start w:val="1"/>
      <w:numFmt w:val="chineseCountingThousand"/>
      <w:pStyle w:val="68"/>
      <w:suff w:val="nothing"/>
      <w:lvlText w:val="第%9、"/>
      <w:lvlJc w:val="left"/>
      <w:pPr>
        <w:ind w:left="0" w:firstLine="601"/>
      </w:pPr>
      <w:rPr>
        <w:rFonts w:hint="default" w:ascii="Arial" w:hAnsi="Arial" w:eastAsia="仿宋"/>
        <w:b w:val="0"/>
        <w:i w:val="0"/>
        <w:sz w:val="3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evenAndOddHeaders w:val="1"/>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EB"/>
    <w:rsid w:val="00005DA6"/>
    <w:rsid w:val="00007B79"/>
    <w:rsid w:val="00010C23"/>
    <w:rsid w:val="00010F24"/>
    <w:rsid w:val="000115CA"/>
    <w:rsid w:val="000122FB"/>
    <w:rsid w:val="00015AF6"/>
    <w:rsid w:val="00015C9D"/>
    <w:rsid w:val="000161CE"/>
    <w:rsid w:val="0002625F"/>
    <w:rsid w:val="000400BF"/>
    <w:rsid w:val="00054884"/>
    <w:rsid w:val="00071612"/>
    <w:rsid w:val="000724B6"/>
    <w:rsid w:val="000736A4"/>
    <w:rsid w:val="00080EFE"/>
    <w:rsid w:val="00084419"/>
    <w:rsid w:val="00087D74"/>
    <w:rsid w:val="00092345"/>
    <w:rsid w:val="00093458"/>
    <w:rsid w:val="00095687"/>
    <w:rsid w:val="000970B1"/>
    <w:rsid w:val="000979A3"/>
    <w:rsid w:val="000A16EE"/>
    <w:rsid w:val="000A2E17"/>
    <w:rsid w:val="000B28AF"/>
    <w:rsid w:val="000B3928"/>
    <w:rsid w:val="000C0349"/>
    <w:rsid w:val="000C0B1F"/>
    <w:rsid w:val="000C53EA"/>
    <w:rsid w:val="000D39C6"/>
    <w:rsid w:val="000E3DB7"/>
    <w:rsid w:val="000F4F52"/>
    <w:rsid w:val="000F64C0"/>
    <w:rsid w:val="00100112"/>
    <w:rsid w:val="001056A8"/>
    <w:rsid w:val="00111A05"/>
    <w:rsid w:val="001238EE"/>
    <w:rsid w:val="00124484"/>
    <w:rsid w:val="0012491C"/>
    <w:rsid w:val="00136821"/>
    <w:rsid w:val="001447DD"/>
    <w:rsid w:val="00144E63"/>
    <w:rsid w:val="001469F0"/>
    <w:rsid w:val="0015281B"/>
    <w:rsid w:val="001560C9"/>
    <w:rsid w:val="00171B8C"/>
    <w:rsid w:val="00174BAA"/>
    <w:rsid w:val="0018134B"/>
    <w:rsid w:val="0019155C"/>
    <w:rsid w:val="001A14FC"/>
    <w:rsid w:val="001B1161"/>
    <w:rsid w:val="001C457A"/>
    <w:rsid w:val="001D2993"/>
    <w:rsid w:val="001E27DB"/>
    <w:rsid w:val="00202558"/>
    <w:rsid w:val="002133E0"/>
    <w:rsid w:val="00217783"/>
    <w:rsid w:val="002239DD"/>
    <w:rsid w:val="00224BEB"/>
    <w:rsid w:val="00235F58"/>
    <w:rsid w:val="00240024"/>
    <w:rsid w:val="00250389"/>
    <w:rsid w:val="002651C3"/>
    <w:rsid w:val="0027090F"/>
    <w:rsid w:val="00274294"/>
    <w:rsid w:val="00274E58"/>
    <w:rsid w:val="00285408"/>
    <w:rsid w:val="002870E2"/>
    <w:rsid w:val="00292587"/>
    <w:rsid w:val="002A03C0"/>
    <w:rsid w:val="002A08BA"/>
    <w:rsid w:val="002A096E"/>
    <w:rsid w:val="002A43B4"/>
    <w:rsid w:val="002A6F7A"/>
    <w:rsid w:val="002A7708"/>
    <w:rsid w:val="002B2BBA"/>
    <w:rsid w:val="002B6435"/>
    <w:rsid w:val="002B6F73"/>
    <w:rsid w:val="002C35AC"/>
    <w:rsid w:val="002D7F93"/>
    <w:rsid w:val="002E22BA"/>
    <w:rsid w:val="002E29CA"/>
    <w:rsid w:val="002E367A"/>
    <w:rsid w:val="002E64C8"/>
    <w:rsid w:val="002F16E6"/>
    <w:rsid w:val="00303A53"/>
    <w:rsid w:val="00304803"/>
    <w:rsid w:val="0030590F"/>
    <w:rsid w:val="00317A50"/>
    <w:rsid w:val="0032110E"/>
    <w:rsid w:val="00323567"/>
    <w:rsid w:val="00323AE8"/>
    <w:rsid w:val="00324C9C"/>
    <w:rsid w:val="00330F0E"/>
    <w:rsid w:val="003374D3"/>
    <w:rsid w:val="003425C4"/>
    <w:rsid w:val="00355148"/>
    <w:rsid w:val="00361E4C"/>
    <w:rsid w:val="00363017"/>
    <w:rsid w:val="003635C7"/>
    <w:rsid w:val="00363943"/>
    <w:rsid w:val="00364A53"/>
    <w:rsid w:val="00383727"/>
    <w:rsid w:val="00391E94"/>
    <w:rsid w:val="003943B2"/>
    <w:rsid w:val="00394491"/>
    <w:rsid w:val="003948E4"/>
    <w:rsid w:val="003A4EDF"/>
    <w:rsid w:val="003B1BF5"/>
    <w:rsid w:val="003B5646"/>
    <w:rsid w:val="003C530A"/>
    <w:rsid w:val="003E08C4"/>
    <w:rsid w:val="003E6BB8"/>
    <w:rsid w:val="00411A75"/>
    <w:rsid w:val="00414784"/>
    <w:rsid w:val="00421524"/>
    <w:rsid w:val="0042365E"/>
    <w:rsid w:val="00426F84"/>
    <w:rsid w:val="00430FD5"/>
    <w:rsid w:val="004350CB"/>
    <w:rsid w:val="00435513"/>
    <w:rsid w:val="00435AFF"/>
    <w:rsid w:val="00436F87"/>
    <w:rsid w:val="00444CCB"/>
    <w:rsid w:val="004552DA"/>
    <w:rsid w:val="004622F6"/>
    <w:rsid w:val="00481015"/>
    <w:rsid w:val="00483102"/>
    <w:rsid w:val="004A15C7"/>
    <w:rsid w:val="004A298B"/>
    <w:rsid w:val="004A3982"/>
    <w:rsid w:val="004A4571"/>
    <w:rsid w:val="004B4043"/>
    <w:rsid w:val="004B634A"/>
    <w:rsid w:val="004B7121"/>
    <w:rsid w:val="004C016C"/>
    <w:rsid w:val="004C1FF2"/>
    <w:rsid w:val="004D1620"/>
    <w:rsid w:val="004D49D8"/>
    <w:rsid w:val="004E177D"/>
    <w:rsid w:val="004E416E"/>
    <w:rsid w:val="004E6D36"/>
    <w:rsid w:val="004F0A1A"/>
    <w:rsid w:val="005027CF"/>
    <w:rsid w:val="00506579"/>
    <w:rsid w:val="00510D71"/>
    <w:rsid w:val="00516E1B"/>
    <w:rsid w:val="00524A70"/>
    <w:rsid w:val="00531E4F"/>
    <w:rsid w:val="0053455C"/>
    <w:rsid w:val="005363DB"/>
    <w:rsid w:val="0054490F"/>
    <w:rsid w:val="005509EF"/>
    <w:rsid w:val="00565652"/>
    <w:rsid w:val="00585A49"/>
    <w:rsid w:val="00596A69"/>
    <w:rsid w:val="005B678B"/>
    <w:rsid w:val="005C45A3"/>
    <w:rsid w:val="005C7C31"/>
    <w:rsid w:val="005D12CD"/>
    <w:rsid w:val="005D16B2"/>
    <w:rsid w:val="005D17FB"/>
    <w:rsid w:val="005D642A"/>
    <w:rsid w:val="005E29E0"/>
    <w:rsid w:val="005E6C42"/>
    <w:rsid w:val="005F30B0"/>
    <w:rsid w:val="005F608A"/>
    <w:rsid w:val="005F72D2"/>
    <w:rsid w:val="005F78DE"/>
    <w:rsid w:val="00615DFC"/>
    <w:rsid w:val="00624EEE"/>
    <w:rsid w:val="006329AC"/>
    <w:rsid w:val="00633F7D"/>
    <w:rsid w:val="00635B94"/>
    <w:rsid w:val="0064396C"/>
    <w:rsid w:val="00644C25"/>
    <w:rsid w:val="00651F97"/>
    <w:rsid w:val="00655242"/>
    <w:rsid w:val="006553A0"/>
    <w:rsid w:val="00655914"/>
    <w:rsid w:val="00663710"/>
    <w:rsid w:val="00666799"/>
    <w:rsid w:val="00680D33"/>
    <w:rsid w:val="00687473"/>
    <w:rsid w:val="00696831"/>
    <w:rsid w:val="006A0D2B"/>
    <w:rsid w:val="006A11A1"/>
    <w:rsid w:val="006A2A0B"/>
    <w:rsid w:val="006A301C"/>
    <w:rsid w:val="006A48C2"/>
    <w:rsid w:val="006A50A4"/>
    <w:rsid w:val="006A7295"/>
    <w:rsid w:val="006E11C5"/>
    <w:rsid w:val="006E28EC"/>
    <w:rsid w:val="006F29E9"/>
    <w:rsid w:val="006F3015"/>
    <w:rsid w:val="00704DFA"/>
    <w:rsid w:val="00711140"/>
    <w:rsid w:val="0071125B"/>
    <w:rsid w:val="00712226"/>
    <w:rsid w:val="007407EA"/>
    <w:rsid w:val="00741719"/>
    <w:rsid w:val="00741FA5"/>
    <w:rsid w:val="0074512A"/>
    <w:rsid w:val="007517B8"/>
    <w:rsid w:val="007534B4"/>
    <w:rsid w:val="007769B8"/>
    <w:rsid w:val="0078059A"/>
    <w:rsid w:val="00784D9D"/>
    <w:rsid w:val="00795A3D"/>
    <w:rsid w:val="007A3BC5"/>
    <w:rsid w:val="007B212F"/>
    <w:rsid w:val="007C0EA3"/>
    <w:rsid w:val="007C18A0"/>
    <w:rsid w:val="007C2CFE"/>
    <w:rsid w:val="007C2E17"/>
    <w:rsid w:val="007C486D"/>
    <w:rsid w:val="007E243C"/>
    <w:rsid w:val="007E74BB"/>
    <w:rsid w:val="007E7A77"/>
    <w:rsid w:val="007F26A2"/>
    <w:rsid w:val="007F78C1"/>
    <w:rsid w:val="00806090"/>
    <w:rsid w:val="0080637D"/>
    <w:rsid w:val="008107CA"/>
    <w:rsid w:val="0081167D"/>
    <w:rsid w:val="008130F3"/>
    <w:rsid w:val="00816133"/>
    <w:rsid w:val="00816C75"/>
    <w:rsid w:val="008224EE"/>
    <w:rsid w:val="00824AD2"/>
    <w:rsid w:val="00836ECC"/>
    <w:rsid w:val="00850F2E"/>
    <w:rsid w:val="00851A2E"/>
    <w:rsid w:val="008523AA"/>
    <w:rsid w:val="00852524"/>
    <w:rsid w:val="008540FC"/>
    <w:rsid w:val="00855707"/>
    <w:rsid w:val="00874531"/>
    <w:rsid w:val="00875A96"/>
    <w:rsid w:val="008821A5"/>
    <w:rsid w:val="008844AC"/>
    <w:rsid w:val="00891AA3"/>
    <w:rsid w:val="008920CB"/>
    <w:rsid w:val="00897A70"/>
    <w:rsid w:val="008A6630"/>
    <w:rsid w:val="008A66FC"/>
    <w:rsid w:val="008B4064"/>
    <w:rsid w:val="008B5C5C"/>
    <w:rsid w:val="008C1ABF"/>
    <w:rsid w:val="008C5576"/>
    <w:rsid w:val="008D6132"/>
    <w:rsid w:val="008D70FE"/>
    <w:rsid w:val="008E04FE"/>
    <w:rsid w:val="008E6E48"/>
    <w:rsid w:val="008F383E"/>
    <w:rsid w:val="008F5E5B"/>
    <w:rsid w:val="0091198B"/>
    <w:rsid w:val="00920DDA"/>
    <w:rsid w:val="009220FC"/>
    <w:rsid w:val="009244DF"/>
    <w:rsid w:val="00925C81"/>
    <w:rsid w:val="00933E59"/>
    <w:rsid w:val="0094351B"/>
    <w:rsid w:val="009438F5"/>
    <w:rsid w:val="009572ED"/>
    <w:rsid w:val="00957952"/>
    <w:rsid w:val="0096228E"/>
    <w:rsid w:val="00962CE7"/>
    <w:rsid w:val="00967F05"/>
    <w:rsid w:val="00981710"/>
    <w:rsid w:val="0098213E"/>
    <w:rsid w:val="00985D05"/>
    <w:rsid w:val="009A41CF"/>
    <w:rsid w:val="009A42E1"/>
    <w:rsid w:val="009A71B2"/>
    <w:rsid w:val="009A7DBD"/>
    <w:rsid w:val="009B1B8D"/>
    <w:rsid w:val="009B64FE"/>
    <w:rsid w:val="009B77BB"/>
    <w:rsid w:val="009C309B"/>
    <w:rsid w:val="009C5ACD"/>
    <w:rsid w:val="009D4FD7"/>
    <w:rsid w:val="009E7038"/>
    <w:rsid w:val="009F1C33"/>
    <w:rsid w:val="009F47A5"/>
    <w:rsid w:val="009F5A81"/>
    <w:rsid w:val="00A139A2"/>
    <w:rsid w:val="00A16928"/>
    <w:rsid w:val="00A24340"/>
    <w:rsid w:val="00A256D0"/>
    <w:rsid w:val="00A32B4F"/>
    <w:rsid w:val="00A345B5"/>
    <w:rsid w:val="00A3768B"/>
    <w:rsid w:val="00A3771C"/>
    <w:rsid w:val="00A50A89"/>
    <w:rsid w:val="00A561E4"/>
    <w:rsid w:val="00A56377"/>
    <w:rsid w:val="00A5715C"/>
    <w:rsid w:val="00A661EF"/>
    <w:rsid w:val="00A71D53"/>
    <w:rsid w:val="00A84AC2"/>
    <w:rsid w:val="00A87FBE"/>
    <w:rsid w:val="00A968C7"/>
    <w:rsid w:val="00AA749D"/>
    <w:rsid w:val="00AB4E1E"/>
    <w:rsid w:val="00AC5207"/>
    <w:rsid w:val="00AC6403"/>
    <w:rsid w:val="00AC6E4B"/>
    <w:rsid w:val="00AD5E12"/>
    <w:rsid w:val="00AE2027"/>
    <w:rsid w:val="00AF1786"/>
    <w:rsid w:val="00B0438A"/>
    <w:rsid w:val="00B104F1"/>
    <w:rsid w:val="00B10DF4"/>
    <w:rsid w:val="00B12B3E"/>
    <w:rsid w:val="00B1618A"/>
    <w:rsid w:val="00B23F08"/>
    <w:rsid w:val="00B261F2"/>
    <w:rsid w:val="00B27FB1"/>
    <w:rsid w:val="00B31588"/>
    <w:rsid w:val="00B32AE6"/>
    <w:rsid w:val="00B338FE"/>
    <w:rsid w:val="00B4361A"/>
    <w:rsid w:val="00B57BB8"/>
    <w:rsid w:val="00B603E8"/>
    <w:rsid w:val="00B6250B"/>
    <w:rsid w:val="00B63D33"/>
    <w:rsid w:val="00B70506"/>
    <w:rsid w:val="00B75C24"/>
    <w:rsid w:val="00B77758"/>
    <w:rsid w:val="00B83DED"/>
    <w:rsid w:val="00B92B69"/>
    <w:rsid w:val="00B92CF3"/>
    <w:rsid w:val="00B92F5B"/>
    <w:rsid w:val="00BA2278"/>
    <w:rsid w:val="00BC0CA2"/>
    <w:rsid w:val="00BD01E1"/>
    <w:rsid w:val="00BD23A7"/>
    <w:rsid w:val="00BD54D3"/>
    <w:rsid w:val="00BD74FE"/>
    <w:rsid w:val="00BE5DE0"/>
    <w:rsid w:val="00BE79F7"/>
    <w:rsid w:val="00C07EA4"/>
    <w:rsid w:val="00C1598F"/>
    <w:rsid w:val="00C20E90"/>
    <w:rsid w:val="00C22B50"/>
    <w:rsid w:val="00C23747"/>
    <w:rsid w:val="00C34E76"/>
    <w:rsid w:val="00C36E22"/>
    <w:rsid w:val="00C41E7E"/>
    <w:rsid w:val="00C46D61"/>
    <w:rsid w:val="00C511A2"/>
    <w:rsid w:val="00C52A4B"/>
    <w:rsid w:val="00C53846"/>
    <w:rsid w:val="00C63D8B"/>
    <w:rsid w:val="00C70E60"/>
    <w:rsid w:val="00C7268F"/>
    <w:rsid w:val="00C73F57"/>
    <w:rsid w:val="00C8136A"/>
    <w:rsid w:val="00C84106"/>
    <w:rsid w:val="00C84D2B"/>
    <w:rsid w:val="00C87D97"/>
    <w:rsid w:val="00C87F61"/>
    <w:rsid w:val="00C9113E"/>
    <w:rsid w:val="00C94202"/>
    <w:rsid w:val="00C963DA"/>
    <w:rsid w:val="00CA183F"/>
    <w:rsid w:val="00CA5ACF"/>
    <w:rsid w:val="00CA79FB"/>
    <w:rsid w:val="00CB0992"/>
    <w:rsid w:val="00CB1B1E"/>
    <w:rsid w:val="00CB2D03"/>
    <w:rsid w:val="00CB35DF"/>
    <w:rsid w:val="00CB4FA9"/>
    <w:rsid w:val="00CB537A"/>
    <w:rsid w:val="00CC0A58"/>
    <w:rsid w:val="00CC1B1C"/>
    <w:rsid w:val="00CC36D8"/>
    <w:rsid w:val="00CC69E8"/>
    <w:rsid w:val="00CD6CAE"/>
    <w:rsid w:val="00CE56C0"/>
    <w:rsid w:val="00CF7443"/>
    <w:rsid w:val="00D05FDD"/>
    <w:rsid w:val="00D07151"/>
    <w:rsid w:val="00D16750"/>
    <w:rsid w:val="00D17AD4"/>
    <w:rsid w:val="00D17CC3"/>
    <w:rsid w:val="00D17FD5"/>
    <w:rsid w:val="00D25C41"/>
    <w:rsid w:val="00D27FA8"/>
    <w:rsid w:val="00D32090"/>
    <w:rsid w:val="00D32E01"/>
    <w:rsid w:val="00D55D81"/>
    <w:rsid w:val="00D62EAB"/>
    <w:rsid w:val="00D67F22"/>
    <w:rsid w:val="00D75B25"/>
    <w:rsid w:val="00D76147"/>
    <w:rsid w:val="00D763EB"/>
    <w:rsid w:val="00D773F9"/>
    <w:rsid w:val="00D80FEA"/>
    <w:rsid w:val="00D84CF7"/>
    <w:rsid w:val="00D87D78"/>
    <w:rsid w:val="00D9728C"/>
    <w:rsid w:val="00DA43CF"/>
    <w:rsid w:val="00DB0AEE"/>
    <w:rsid w:val="00DB5E7C"/>
    <w:rsid w:val="00DC1B40"/>
    <w:rsid w:val="00DC1B92"/>
    <w:rsid w:val="00DC5651"/>
    <w:rsid w:val="00DD7CE1"/>
    <w:rsid w:val="00DE1D3B"/>
    <w:rsid w:val="00DE4228"/>
    <w:rsid w:val="00E01BA3"/>
    <w:rsid w:val="00E0550E"/>
    <w:rsid w:val="00E14C27"/>
    <w:rsid w:val="00E2237D"/>
    <w:rsid w:val="00E228B0"/>
    <w:rsid w:val="00E27DE4"/>
    <w:rsid w:val="00E32F5B"/>
    <w:rsid w:val="00E34691"/>
    <w:rsid w:val="00E41E16"/>
    <w:rsid w:val="00E45E61"/>
    <w:rsid w:val="00E474A8"/>
    <w:rsid w:val="00E511E3"/>
    <w:rsid w:val="00E54091"/>
    <w:rsid w:val="00E54E74"/>
    <w:rsid w:val="00E557C0"/>
    <w:rsid w:val="00E64CDA"/>
    <w:rsid w:val="00E824DC"/>
    <w:rsid w:val="00E8386D"/>
    <w:rsid w:val="00E83ED2"/>
    <w:rsid w:val="00E84589"/>
    <w:rsid w:val="00E9376F"/>
    <w:rsid w:val="00E9761E"/>
    <w:rsid w:val="00EA494D"/>
    <w:rsid w:val="00EA7854"/>
    <w:rsid w:val="00EB028A"/>
    <w:rsid w:val="00EB13DD"/>
    <w:rsid w:val="00EB4A77"/>
    <w:rsid w:val="00EB55ED"/>
    <w:rsid w:val="00EB63D0"/>
    <w:rsid w:val="00EC5A65"/>
    <w:rsid w:val="00ED0688"/>
    <w:rsid w:val="00ED2F89"/>
    <w:rsid w:val="00ED75FE"/>
    <w:rsid w:val="00EE1281"/>
    <w:rsid w:val="00EE7710"/>
    <w:rsid w:val="00EF0B21"/>
    <w:rsid w:val="00EF5CB2"/>
    <w:rsid w:val="00F04852"/>
    <w:rsid w:val="00F074E9"/>
    <w:rsid w:val="00F109E4"/>
    <w:rsid w:val="00F17C20"/>
    <w:rsid w:val="00F20A5D"/>
    <w:rsid w:val="00F2194A"/>
    <w:rsid w:val="00F239BF"/>
    <w:rsid w:val="00F24DB4"/>
    <w:rsid w:val="00F26086"/>
    <w:rsid w:val="00F31600"/>
    <w:rsid w:val="00F34571"/>
    <w:rsid w:val="00F360C8"/>
    <w:rsid w:val="00F41E73"/>
    <w:rsid w:val="00F47A18"/>
    <w:rsid w:val="00F546B4"/>
    <w:rsid w:val="00F56AD1"/>
    <w:rsid w:val="00F61139"/>
    <w:rsid w:val="00F74C57"/>
    <w:rsid w:val="00F7720A"/>
    <w:rsid w:val="00F81D5B"/>
    <w:rsid w:val="00F86181"/>
    <w:rsid w:val="00F939E4"/>
    <w:rsid w:val="00FA24B2"/>
    <w:rsid w:val="00FA68D8"/>
    <w:rsid w:val="00FB2290"/>
    <w:rsid w:val="00FB2D72"/>
    <w:rsid w:val="00FC36A9"/>
    <w:rsid w:val="00FC5461"/>
    <w:rsid w:val="00FD5AB5"/>
    <w:rsid w:val="00FE1C90"/>
    <w:rsid w:val="00FF005B"/>
    <w:rsid w:val="00FF492A"/>
    <w:rsid w:val="00FF60FA"/>
    <w:rsid w:val="00FF6399"/>
    <w:rsid w:val="57FD7C06"/>
    <w:rsid w:val="AFFE3872"/>
    <w:rsid w:val="D9FBAB24"/>
    <w:rsid w:val="DEFFCCFE"/>
    <w:rsid w:val="F76EC2F5"/>
    <w:rsid w:val="F7B325B6"/>
    <w:rsid w:val="FABD13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4"/>
      <w:szCs w:val="24"/>
      <w:lang w:val="en-US" w:eastAsia="zh-CN" w:bidi="ar-SA"/>
    </w:rPr>
  </w:style>
  <w:style w:type="paragraph" w:styleId="3">
    <w:name w:val="heading 1"/>
    <w:basedOn w:val="1"/>
    <w:next w:val="4"/>
    <w:link w:val="32"/>
    <w:qFormat/>
    <w:uiPriority w:val="0"/>
    <w:pPr>
      <w:keepNext/>
      <w:numPr>
        <w:ilvl w:val="0"/>
        <w:numId w:val="1"/>
      </w:numPr>
      <w:tabs>
        <w:tab w:val="left" w:pos="210"/>
      </w:tabs>
      <w:adjustRightInd w:val="0"/>
      <w:snapToGrid w:val="0"/>
      <w:spacing w:before="120" w:after="360" w:line="360" w:lineRule="auto"/>
      <w:jc w:val="center"/>
      <w:outlineLvl w:val="0"/>
    </w:pPr>
    <w:rPr>
      <w:rFonts w:ascii="Arial" w:hAnsi="Arial" w:eastAsia="黑体" w:cstheme="minorBidi"/>
      <w:b/>
      <w:kern w:val="2"/>
      <w:sz w:val="36"/>
      <w:szCs w:val="30"/>
    </w:rPr>
  </w:style>
  <w:style w:type="paragraph" w:styleId="5">
    <w:name w:val="heading 2"/>
    <w:basedOn w:val="1"/>
    <w:next w:val="4"/>
    <w:link w:val="36"/>
    <w:qFormat/>
    <w:uiPriority w:val="0"/>
    <w:pPr>
      <w:keepNext/>
      <w:numPr>
        <w:ilvl w:val="1"/>
        <w:numId w:val="1"/>
      </w:numPr>
      <w:adjustRightInd w:val="0"/>
      <w:snapToGrid w:val="0"/>
      <w:spacing w:before="120" w:after="120" w:line="360" w:lineRule="auto"/>
      <w:outlineLvl w:val="1"/>
    </w:pPr>
    <w:rPr>
      <w:rFonts w:ascii="Arial" w:hAnsi="Arial" w:eastAsia="黑体" w:cstheme="minorBidi"/>
      <w:b/>
      <w:kern w:val="2"/>
      <w:sz w:val="32"/>
      <w:szCs w:val="30"/>
    </w:rPr>
  </w:style>
  <w:style w:type="paragraph" w:styleId="6">
    <w:name w:val="heading 3"/>
    <w:basedOn w:val="1"/>
    <w:next w:val="4"/>
    <w:link w:val="37"/>
    <w:qFormat/>
    <w:uiPriority w:val="0"/>
    <w:pPr>
      <w:keepNext/>
      <w:numPr>
        <w:ilvl w:val="2"/>
        <w:numId w:val="1"/>
      </w:numPr>
      <w:adjustRightInd w:val="0"/>
      <w:snapToGrid w:val="0"/>
      <w:spacing w:before="120" w:after="120" w:line="360" w:lineRule="auto"/>
      <w:outlineLvl w:val="2"/>
    </w:pPr>
    <w:rPr>
      <w:rFonts w:ascii="Arial" w:hAnsi="Arial" w:eastAsia="黑体" w:cstheme="minorBidi"/>
      <w:b/>
      <w:kern w:val="2"/>
      <w:sz w:val="30"/>
      <w:szCs w:val="30"/>
    </w:rPr>
  </w:style>
  <w:style w:type="paragraph" w:styleId="7">
    <w:name w:val="heading 4"/>
    <w:basedOn w:val="1"/>
    <w:next w:val="4"/>
    <w:link w:val="42"/>
    <w:qFormat/>
    <w:uiPriority w:val="0"/>
    <w:pPr>
      <w:keepNext/>
      <w:numPr>
        <w:ilvl w:val="3"/>
        <w:numId w:val="1"/>
      </w:numPr>
      <w:tabs>
        <w:tab w:val="left" w:pos="105"/>
        <w:tab w:val="left" w:pos="420"/>
      </w:tabs>
      <w:adjustRightInd w:val="0"/>
      <w:snapToGrid w:val="0"/>
      <w:spacing w:before="120" w:after="120" w:line="360" w:lineRule="auto"/>
      <w:outlineLvl w:val="3"/>
    </w:pPr>
    <w:rPr>
      <w:rFonts w:ascii="Arial" w:hAnsi="Arial" w:cstheme="majorBidi"/>
      <w:b/>
      <w:bCs/>
      <w:kern w:val="2"/>
      <w:sz w:val="30"/>
      <w:szCs w:val="28"/>
    </w:rPr>
  </w:style>
  <w:style w:type="paragraph" w:styleId="8">
    <w:name w:val="heading 5"/>
    <w:basedOn w:val="1"/>
    <w:next w:val="4"/>
    <w:link w:val="43"/>
    <w:qFormat/>
    <w:uiPriority w:val="0"/>
    <w:pPr>
      <w:keepNext/>
      <w:numPr>
        <w:ilvl w:val="4"/>
        <w:numId w:val="1"/>
      </w:numPr>
      <w:adjustRightInd w:val="0"/>
      <w:snapToGrid w:val="0"/>
      <w:spacing w:before="120" w:after="120" w:line="360" w:lineRule="auto"/>
      <w:ind w:left="2100" w:hanging="420"/>
      <w:outlineLvl w:val="4"/>
    </w:pPr>
    <w:rPr>
      <w:rFonts w:ascii="Arial" w:hAnsi="Arial" w:eastAsia="仿宋" w:cstheme="minorBidi"/>
      <w:b/>
      <w:kern w:val="2"/>
      <w:sz w:val="30"/>
      <w:szCs w:val="30"/>
    </w:rPr>
  </w:style>
  <w:style w:type="paragraph" w:styleId="9">
    <w:name w:val="heading 6"/>
    <w:basedOn w:val="1"/>
    <w:next w:val="4"/>
    <w:link w:val="44"/>
    <w:qFormat/>
    <w:uiPriority w:val="0"/>
    <w:pPr>
      <w:keepNext/>
      <w:numPr>
        <w:ilvl w:val="5"/>
        <w:numId w:val="1"/>
      </w:numPr>
      <w:adjustRightInd w:val="0"/>
      <w:snapToGrid w:val="0"/>
      <w:spacing w:before="120" w:after="120" w:line="360" w:lineRule="auto"/>
      <w:outlineLvl w:val="5"/>
    </w:pPr>
    <w:rPr>
      <w:rFonts w:ascii="Arial" w:hAnsi="Arial" w:eastAsia="仿宋" w:cstheme="majorBidi"/>
      <w:b/>
      <w:bCs/>
      <w:kern w:val="2"/>
      <w:sz w:val="30"/>
    </w:rPr>
  </w:style>
  <w:style w:type="paragraph" w:styleId="10">
    <w:name w:val="heading 7"/>
    <w:basedOn w:val="1"/>
    <w:next w:val="4"/>
    <w:link w:val="78"/>
    <w:qFormat/>
    <w:uiPriority w:val="0"/>
    <w:pPr>
      <w:numPr>
        <w:ilvl w:val="6"/>
        <w:numId w:val="2"/>
      </w:numPr>
      <w:adjustRightInd w:val="0"/>
      <w:snapToGrid w:val="0"/>
      <w:spacing w:before="50" w:beforeLines="50"/>
      <w:outlineLvl w:val="6"/>
    </w:pPr>
    <w:rPr>
      <w:rFonts w:ascii="Arial" w:hAnsi="Arial" w:eastAsia="仿宋" w:cstheme="minorBidi"/>
      <w:b/>
      <w:bCs/>
      <w:kern w:val="2"/>
      <w:sz w:val="30"/>
    </w:rPr>
  </w:style>
  <w:style w:type="paragraph" w:styleId="11">
    <w:name w:val="heading 8"/>
    <w:basedOn w:val="1"/>
    <w:next w:val="4"/>
    <w:link w:val="79"/>
    <w:qFormat/>
    <w:uiPriority w:val="0"/>
    <w:pPr>
      <w:numPr>
        <w:ilvl w:val="7"/>
        <w:numId w:val="2"/>
      </w:numPr>
      <w:adjustRightInd w:val="0"/>
      <w:snapToGrid w:val="0"/>
      <w:spacing w:before="50" w:beforeLines="50"/>
      <w:outlineLvl w:val="7"/>
    </w:pPr>
    <w:rPr>
      <w:rFonts w:ascii="Arial" w:hAnsi="Arial" w:eastAsia="仿宋" w:cstheme="majorBidi"/>
      <w:b/>
      <w:kern w:val="2"/>
      <w:sz w:val="30"/>
    </w:rPr>
  </w:style>
  <w:style w:type="paragraph" w:styleId="12">
    <w:name w:val="heading 9"/>
    <w:basedOn w:val="1"/>
    <w:next w:val="4"/>
    <w:link w:val="80"/>
    <w:qFormat/>
    <w:uiPriority w:val="0"/>
    <w:pPr>
      <w:spacing w:before="60"/>
      <w:outlineLvl w:val="8"/>
    </w:pPr>
    <w:rPr>
      <w:rFonts w:eastAsia="仿宋" w:asciiTheme="majorHAnsi" w:hAnsiTheme="majorHAnsi" w:cstheme="majorBidi"/>
      <w:b/>
      <w:kern w:val="2"/>
      <w:sz w:val="30"/>
      <w:szCs w:val="3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customStyle="1" w:styleId="4">
    <w:name w:val="sf正文"/>
    <w:basedOn w:val="1"/>
    <w:link w:val="45"/>
    <w:qFormat/>
    <w:uiPriority w:val="0"/>
    <w:pPr>
      <w:adjustRightInd w:val="0"/>
      <w:snapToGrid w:val="0"/>
      <w:spacing w:line="360" w:lineRule="auto"/>
      <w:ind w:firstLine="601"/>
      <w:jc w:val="both"/>
    </w:pPr>
    <w:rPr>
      <w:rFonts w:ascii="Arial" w:hAnsi="Arial" w:eastAsia="仿宋" w:cstheme="minorBidi"/>
      <w:kern w:val="2"/>
      <w:sz w:val="30"/>
      <w:szCs w:val="30"/>
    </w:rPr>
  </w:style>
  <w:style w:type="paragraph" w:styleId="13">
    <w:name w:val="toc 5"/>
    <w:basedOn w:val="1"/>
    <w:next w:val="1"/>
    <w:semiHidden/>
    <w:unhideWhenUsed/>
    <w:qFormat/>
    <w:uiPriority w:val="39"/>
    <w:pPr>
      <w:ind w:left="1680" w:leftChars="800"/>
    </w:pPr>
    <w:rPr>
      <w:rFonts w:ascii="Arial" w:hAnsi="Arial" w:eastAsia="仿宋" w:cstheme="minorBidi"/>
      <w:kern w:val="2"/>
      <w:sz w:val="30"/>
      <w:szCs w:val="30"/>
    </w:rPr>
  </w:style>
  <w:style w:type="paragraph" w:styleId="14">
    <w:name w:val="toc 3"/>
    <w:basedOn w:val="1"/>
    <w:next w:val="1"/>
    <w:unhideWhenUsed/>
    <w:qFormat/>
    <w:uiPriority w:val="39"/>
    <w:pPr>
      <w:tabs>
        <w:tab w:val="right" w:leader="hyphen" w:pos="8647"/>
      </w:tabs>
      <w:adjustRightInd w:val="0"/>
      <w:snapToGrid w:val="0"/>
      <w:spacing w:line="360" w:lineRule="auto"/>
      <w:ind w:left="200" w:leftChars="200"/>
    </w:pPr>
    <w:rPr>
      <w:rFonts w:ascii="Arial" w:hAnsi="Arial" w:eastAsia="仿宋" w:cstheme="minorBidi"/>
      <w:sz w:val="28"/>
      <w:szCs w:val="22"/>
    </w:rPr>
  </w:style>
  <w:style w:type="paragraph" w:styleId="15">
    <w:name w:val="Date"/>
    <w:basedOn w:val="1"/>
    <w:next w:val="1"/>
    <w:link w:val="39"/>
    <w:unhideWhenUsed/>
    <w:qFormat/>
    <w:uiPriority w:val="99"/>
    <w:pPr>
      <w:ind w:left="100" w:leftChars="2500"/>
    </w:pPr>
    <w:rPr>
      <w:rFonts w:ascii="Arial" w:hAnsi="Arial" w:eastAsia="仿宋" w:cstheme="minorBidi"/>
      <w:kern w:val="2"/>
      <w:sz w:val="30"/>
      <w:szCs w:val="30"/>
    </w:rPr>
  </w:style>
  <w:style w:type="paragraph" w:styleId="16">
    <w:name w:val="Balloon Text"/>
    <w:basedOn w:val="1"/>
    <w:link w:val="46"/>
    <w:semiHidden/>
    <w:unhideWhenUsed/>
    <w:qFormat/>
    <w:uiPriority w:val="99"/>
    <w:rPr>
      <w:rFonts w:ascii="Arial" w:hAnsi="Arial" w:eastAsia="仿宋" w:cstheme="minorBidi"/>
      <w:kern w:val="2"/>
      <w:sz w:val="18"/>
      <w:szCs w:val="18"/>
    </w:rPr>
  </w:style>
  <w:style w:type="paragraph" w:styleId="17">
    <w:name w:val="footer"/>
    <w:basedOn w:val="1"/>
    <w:link w:val="40"/>
    <w:unhideWhenUsed/>
    <w:qFormat/>
    <w:uiPriority w:val="99"/>
    <w:pPr>
      <w:tabs>
        <w:tab w:val="center" w:pos="4153"/>
        <w:tab w:val="right" w:pos="8306"/>
      </w:tabs>
      <w:snapToGrid w:val="0"/>
    </w:pPr>
    <w:rPr>
      <w:rFonts w:ascii="Arial" w:hAnsi="Arial" w:eastAsia="仿宋" w:cstheme="minorBidi"/>
      <w:kern w:val="2"/>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rFonts w:ascii="Arial" w:hAnsi="Arial" w:eastAsia="仿宋" w:cstheme="minorBidi"/>
      <w:kern w:val="2"/>
      <w:sz w:val="18"/>
      <w:szCs w:val="18"/>
    </w:rPr>
  </w:style>
  <w:style w:type="paragraph" w:styleId="19">
    <w:name w:val="toc 1"/>
    <w:basedOn w:val="1"/>
    <w:next w:val="1"/>
    <w:unhideWhenUsed/>
    <w:qFormat/>
    <w:uiPriority w:val="39"/>
    <w:pPr>
      <w:tabs>
        <w:tab w:val="left" w:pos="284"/>
        <w:tab w:val="left" w:pos="567"/>
        <w:tab w:val="left" w:pos="1418"/>
        <w:tab w:val="right" w:leader="hyphen" w:pos="8647"/>
      </w:tabs>
      <w:adjustRightInd w:val="0"/>
      <w:snapToGrid w:val="0"/>
      <w:spacing w:line="360" w:lineRule="auto"/>
    </w:pPr>
    <w:rPr>
      <w:rFonts w:ascii="Arial" w:hAnsi="Arial" w:eastAsia="仿宋"/>
      <w:b/>
      <w:color w:val="000000" w:themeColor="text1"/>
      <w:sz w:val="30"/>
      <w:szCs w:val="22"/>
      <w14:textFill>
        <w14:solidFill>
          <w14:schemeClr w14:val="tx1"/>
        </w14:solidFill>
      </w14:textFill>
    </w:rPr>
  </w:style>
  <w:style w:type="paragraph" w:styleId="20">
    <w:name w:val="toc 4"/>
    <w:basedOn w:val="1"/>
    <w:next w:val="1"/>
    <w:unhideWhenUsed/>
    <w:qFormat/>
    <w:uiPriority w:val="39"/>
    <w:pPr>
      <w:tabs>
        <w:tab w:val="right" w:leader="hyphen" w:pos="8648"/>
      </w:tabs>
      <w:adjustRightInd w:val="0"/>
      <w:snapToGrid w:val="0"/>
      <w:spacing w:line="360" w:lineRule="auto"/>
      <w:ind w:left="200" w:leftChars="200"/>
    </w:pPr>
    <w:rPr>
      <w:rFonts w:ascii="Arial" w:hAnsi="Arial" w:eastAsia="仿宋" w:cstheme="minorBidi"/>
      <w:kern w:val="2"/>
      <w:sz w:val="28"/>
      <w:szCs w:val="30"/>
    </w:rPr>
  </w:style>
  <w:style w:type="paragraph" w:styleId="21">
    <w:name w:val="toc 2"/>
    <w:basedOn w:val="1"/>
    <w:next w:val="1"/>
    <w:unhideWhenUsed/>
    <w:qFormat/>
    <w:uiPriority w:val="39"/>
    <w:pPr>
      <w:tabs>
        <w:tab w:val="left" w:pos="420"/>
        <w:tab w:val="left" w:pos="1418"/>
        <w:tab w:val="left" w:pos="1843"/>
        <w:tab w:val="right" w:leader="hyphen" w:pos="8647"/>
      </w:tabs>
      <w:adjustRightInd w:val="0"/>
      <w:snapToGrid w:val="0"/>
      <w:spacing w:line="360" w:lineRule="auto"/>
      <w:ind w:left="200" w:leftChars="200"/>
    </w:pPr>
    <w:rPr>
      <w:rFonts w:ascii="Arial" w:hAnsi="Arial" w:eastAsia="仿宋"/>
      <w:sz w:val="28"/>
      <w:szCs w:val="22"/>
    </w:rPr>
  </w:style>
  <w:style w:type="paragraph" w:styleId="22">
    <w:name w:val="Normal (Web)"/>
    <w:basedOn w:val="1"/>
    <w:unhideWhenUsed/>
    <w:qFormat/>
    <w:uiPriority w:val="99"/>
    <w:pPr>
      <w:spacing w:before="100" w:beforeAutospacing="1" w:after="100" w:afterAutospacing="1"/>
    </w:pPr>
    <w:rPr>
      <w:rFonts w:ascii="宋体" w:hAnsi="宋体" w:cs="宋体"/>
    </w:rPr>
  </w:style>
  <w:style w:type="table" w:styleId="24">
    <w:name w:val="Table Grid"/>
    <w:basedOn w:val="23"/>
    <w:qFormat/>
    <w:uiPriority w:val="39"/>
    <w:pPr>
      <w:widowControl w:val="0"/>
      <w:adjustRightInd w:val="0"/>
      <w:snapToGrid w:val="0"/>
      <w:jc w:val="center"/>
    </w:pPr>
    <w:rPr>
      <w:sz w:val="24"/>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rPr>
      <w:cantSplit/>
      <w:jc w:val="center"/>
    </w:trPr>
    <w:tcPr>
      <w:shd w:val="clear" w:color="auto" w:fill="auto"/>
      <w:vAlign w:val="center"/>
    </w:tcPr>
    <w:tblStylePr w:type="firstRow">
      <w:pPr>
        <w:wordWrap/>
        <w:adjustRightInd w:val="0"/>
        <w:snapToGrid w:val="0"/>
        <w:spacing w:before="0" w:beforeLines="0" w:beforeAutospacing="0" w:after="0" w:afterLines="0" w:afterAutospacing="0" w:line="240" w:lineRule="auto"/>
        <w:ind w:left="0" w:leftChars="0" w:right="0" w:rightChars="0" w:firstLine="0" w:firstLineChars="0"/>
        <w:contextualSpacing w:val="0"/>
        <w:jc w:val="center"/>
        <w:outlineLvl w:val="9"/>
      </w:pPr>
      <w:rPr>
        <w:rFonts w:ascii="Arial" w:hAnsi="Arial" w:eastAsia="仿宋"/>
        <w:color w:val="FFFFFF" w:themeColor="background1"/>
        <w:sz w:val="28"/>
        <w14:textFill>
          <w14:solidFill>
            <w14:schemeClr w14:val="bg1"/>
          </w14:solidFill>
        </w14:textFill>
      </w:rPr>
      <w:tblPr>
        <w:tblLayout w:type="fixed"/>
      </w:tblPr>
      <w:trPr>
        <w:tblHeader/>
      </w:trPr>
      <w:tcPr>
        <w:tcBorders>
          <w:top w:val="single" w:color="auto" w:sz="12" w:space="0"/>
          <w:left w:val="single" w:color="auto" w:sz="12" w:space="0"/>
          <w:bottom w:val="single" w:color="auto" w:sz="12" w:space="0"/>
          <w:right w:val="single" w:color="auto" w:sz="12" w:space="0"/>
          <w:insideH w:val="single" w:sz="6" w:space="0"/>
          <w:insideV w:val="single" w:sz="6" w:space="0"/>
          <w:tl2br w:val="nil"/>
          <w:tr2bl w:val="nil"/>
        </w:tcBorders>
        <w:shd w:val="clear" w:color="auto" w:fill="00516C"/>
      </w:tcPr>
    </w:tblStylePr>
    <w:tblStylePr w:type="lastRow">
      <w:pPr>
        <w:jc w:val="center"/>
      </w:pPr>
    </w:tblStylePr>
    <w:tblStylePr w:type="firstCol">
      <w:pPr>
        <w:jc w:val="center"/>
      </w:pPr>
    </w:tblStylePr>
    <w:tblStylePr w:type="lastCol">
      <w:pPr>
        <w:jc w:val="center"/>
      </w:pPr>
    </w:tblStylePr>
  </w:style>
  <w:style w:type="character" w:styleId="26">
    <w:name w:val="page number"/>
    <w:basedOn w:val="25"/>
    <w:semiHidden/>
    <w:unhideWhenUsed/>
    <w:qFormat/>
    <w:uiPriority w:val="99"/>
  </w:style>
  <w:style w:type="character" w:styleId="27">
    <w:name w:val="Hyperlink"/>
    <w:basedOn w:val="25"/>
    <w:unhideWhenUsed/>
    <w:qFormat/>
    <w:uiPriority w:val="99"/>
    <w:rPr>
      <w:color w:val="0563C1" w:themeColor="hyperlink"/>
      <w:u w:val="single"/>
      <w14:textFill>
        <w14:solidFill>
          <w14:schemeClr w14:val="hlink"/>
        </w14:solidFill>
      </w14:textFill>
    </w:rPr>
  </w:style>
  <w:style w:type="paragraph" w:styleId="28">
    <w:name w:val="List Paragraph"/>
    <w:basedOn w:val="1"/>
    <w:link w:val="29"/>
    <w:qFormat/>
    <w:uiPriority w:val="99"/>
    <w:pPr>
      <w:ind w:firstLine="420"/>
    </w:pPr>
    <w:rPr>
      <w:rFonts w:ascii="Arial" w:hAnsi="Arial" w:eastAsia="仿宋" w:cstheme="minorBidi"/>
      <w:kern w:val="2"/>
      <w:sz w:val="30"/>
      <w:szCs w:val="30"/>
    </w:rPr>
  </w:style>
  <w:style w:type="character" w:customStyle="1" w:styleId="29">
    <w:name w:val="列表段落 字符"/>
    <w:basedOn w:val="25"/>
    <w:link w:val="28"/>
    <w:qFormat/>
    <w:uiPriority w:val="34"/>
  </w:style>
  <w:style w:type="paragraph" w:customStyle="1" w:styleId="30">
    <w:name w:val="B1-标题"/>
    <w:basedOn w:val="1"/>
    <w:next w:val="4"/>
    <w:link w:val="34"/>
    <w:qFormat/>
    <w:uiPriority w:val="0"/>
    <w:pPr>
      <w:keepNext/>
      <w:numPr>
        <w:ilvl w:val="0"/>
        <w:numId w:val="3"/>
      </w:numPr>
      <w:adjustRightInd w:val="0"/>
      <w:snapToGrid w:val="0"/>
      <w:spacing w:before="120" w:after="120" w:line="360" w:lineRule="auto"/>
      <w:outlineLvl w:val="0"/>
    </w:pPr>
    <w:rPr>
      <w:rFonts w:ascii="Arial" w:hAnsi="Arial" w:eastAsia="黑体" w:cstheme="minorBidi"/>
      <w:b/>
      <w:kern w:val="2"/>
      <w:sz w:val="36"/>
      <w:szCs w:val="30"/>
    </w:rPr>
  </w:style>
  <w:style w:type="paragraph" w:customStyle="1" w:styleId="31">
    <w:name w:val="B2-标题"/>
    <w:basedOn w:val="1"/>
    <w:next w:val="4"/>
    <w:link w:val="38"/>
    <w:qFormat/>
    <w:uiPriority w:val="0"/>
    <w:pPr>
      <w:keepNext/>
      <w:numPr>
        <w:ilvl w:val="1"/>
        <w:numId w:val="3"/>
      </w:numPr>
      <w:adjustRightInd w:val="0"/>
      <w:snapToGrid w:val="0"/>
      <w:spacing w:before="120" w:after="120" w:line="360" w:lineRule="auto"/>
      <w:outlineLvl w:val="1"/>
    </w:pPr>
    <w:rPr>
      <w:rFonts w:ascii="Arial" w:hAnsi="Arial" w:eastAsia="黑体" w:cstheme="minorBidi"/>
      <w:b/>
      <w:kern w:val="2"/>
      <w:sz w:val="32"/>
      <w:szCs w:val="30"/>
    </w:rPr>
  </w:style>
  <w:style w:type="character" w:customStyle="1" w:styleId="32">
    <w:name w:val="标题 1 字符"/>
    <w:basedOn w:val="25"/>
    <w:link w:val="3"/>
    <w:qFormat/>
    <w:uiPriority w:val="0"/>
    <w:rPr>
      <w:rFonts w:eastAsia="黑体"/>
      <w:b/>
      <w:sz w:val="36"/>
    </w:rPr>
  </w:style>
  <w:style w:type="paragraph" w:customStyle="1" w:styleId="33">
    <w:name w:val="TOC Heading"/>
    <w:basedOn w:val="3"/>
    <w:next w:val="1"/>
    <w:unhideWhenUsed/>
    <w:qFormat/>
    <w:uiPriority w:val="39"/>
    <w:pPr>
      <w:numPr>
        <w:numId w:val="0"/>
      </w:numPr>
      <w:spacing w:line="259" w:lineRule="auto"/>
      <w:outlineLvl w:val="9"/>
    </w:pPr>
    <w:rPr>
      <w:rFonts w:asciiTheme="majorHAnsi" w:hAnsiTheme="majorHAnsi" w:eastAsiaTheme="majorEastAsia" w:cstheme="majorBidi"/>
      <w:b w:val="0"/>
      <w:bCs/>
      <w:color w:val="2F5597" w:themeColor="accent1" w:themeShade="BF"/>
      <w:kern w:val="0"/>
    </w:rPr>
  </w:style>
  <w:style w:type="character" w:customStyle="1" w:styleId="34">
    <w:name w:val="B1-标题 字符"/>
    <w:basedOn w:val="32"/>
    <w:link w:val="30"/>
    <w:qFormat/>
    <w:uiPriority w:val="0"/>
    <w:rPr>
      <w:rFonts w:eastAsia="黑体"/>
      <w:sz w:val="36"/>
    </w:rPr>
  </w:style>
  <w:style w:type="paragraph" w:customStyle="1" w:styleId="35">
    <w:name w:val="B3-标题"/>
    <w:basedOn w:val="1"/>
    <w:next w:val="4"/>
    <w:link w:val="47"/>
    <w:qFormat/>
    <w:uiPriority w:val="0"/>
    <w:pPr>
      <w:keepNext/>
      <w:numPr>
        <w:ilvl w:val="2"/>
        <w:numId w:val="3"/>
      </w:numPr>
      <w:adjustRightInd w:val="0"/>
      <w:snapToGrid w:val="0"/>
      <w:spacing w:before="120" w:after="120" w:line="360" w:lineRule="auto"/>
      <w:outlineLvl w:val="2"/>
    </w:pPr>
    <w:rPr>
      <w:rFonts w:ascii="Arial" w:hAnsi="Arial" w:eastAsia="黑体" w:cstheme="minorBidi"/>
      <w:b/>
      <w:kern w:val="2"/>
      <w:sz w:val="30"/>
      <w:szCs w:val="30"/>
    </w:rPr>
  </w:style>
  <w:style w:type="character" w:customStyle="1" w:styleId="36">
    <w:name w:val="标题 2 字符"/>
    <w:basedOn w:val="25"/>
    <w:link w:val="5"/>
    <w:qFormat/>
    <w:uiPriority w:val="0"/>
    <w:rPr>
      <w:rFonts w:eastAsia="黑体"/>
      <w:b/>
      <w:sz w:val="32"/>
    </w:rPr>
  </w:style>
  <w:style w:type="character" w:customStyle="1" w:styleId="37">
    <w:name w:val="标题 3 字符"/>
    <w:basedOn w:val="25"/>
    <w:link w:val="6"/>
    <w:qFormat/>
    <w:uiPriority w:val="0"/>
    <w:rPr>
      <w:rFonts w:eastAsia="黑体"/>
      <w:b/>
    </w:rPr>
  </w:style>
  <w:style w:type="character" w:customStyle="1" w:styleId="38">
    <w:name w:val="B2-标题 字符"/>
    <w:basedOn w:val="25"/>
    <w:link w:val="31"/>
    <w:qFormat/>
    <w:uiPriority w:val="0"/>
    <w:rPr>
      <w:rFonts w:eastAsia="黑体"/>
      <w:b/>
      <w:sz w:val="32"/>
    </w:rPr>
  </w:style>
  <w:style w:type="character" w:customStyle="1" w:styleId="39">
    <w:name w:val="日期 字符"/>
    <w:basedOn w:val="25"/>
    <w:link w:val="15"/>
    <w:qFormat/>
    <w:uiPriority w:val="99"/>
  </w:style>
  <w:style w:type="character" w:customStyle="1" w:styleId="40">
    <w:name w:val="页脚 字符"/>
    <w:basedOn w:val="25"/>
    <w:link w:val="17"/>
    <w:qFormat/>
    <w:uiPriority w:val="99"/>
    <w:rPr>
      <w:sz w:val="18"/>
      <w:szCs w:val="18"/>
    </w:rPr>
  </w:style>
  <w:style w:type="character" w:customStyle="1" w:styleId="41">
    <w:name w:val="页眉 字符"/>
    <w:basedOn w:val="25"/>
    <w:link w:val="18"/>
    <w:qFormat/>
    <w:uiPriority w:val="99"/>
    <w:rPr>
      <w:sz w:val="18"/>
      <w:szCs w:val="18"/>
    </w:rPr>
  </w:style>
  <w:style w:type="character" w:customStyle="1" w:styleId="42">
    <w:name w:val="标题 4 字符"/>
    <w:basedOn w:val="25"/>
    <w:link w:val="7"/>
    <w:qFormat/>
    <w:uiPriority w:val="0"/>
    <w:rPr>
      <w:rFonts w:eastAsia="宋体" w:cstheme="majorBidi"/>
      <w:b/>
      <w:bCs/>
      <w:szCs w:val="28"/>
    </w:rPr>
  </w:style>
  <w:style w:type="character" w:customStyle="1" w:styleId="43">
    <w:name w:val="标题 5 字符"/>
    <w:basedOn w:val="25"/>
    <w:link w:val="8"/>
    <w:qFormat/>
    <w:uiPriority w:val="0"/>
    <w:rPr>
      <w:b/>
    </w:rPr>
  </w:style>
  <w:style w:type="character" w:customStyle="1" w:styleId="44">
    <w:name w:val="标题 6 字符"/>
    <w:basedOn w:val="25"/>
    <w:link w:val="9"/>
    <w:qFormat/>
    <w:uiPriority w:val="0"/>
    <w:rPr>
      <w:rFonts w:cstheme="majorBidi"/>
      <w:b/>
      <w:bCs/>
      <w:szCs w:val="24"/>
    </w:rPr>
  </w:style>
  <w:style w:type="character" w:customStyle="1" w:styleId="45">
    <w:name w:val="sf正文 字符"/>
    <w:basedOn w:val="25"/>
    <w:link w:val="4"/>
    <w:qFormat/>
    <w:uiPriority w:val="0"/>
  </w:style>
  <w:style w:type="character" w:customStyle="1" w:styleId="46">
    <w:name w:val="批注框文本 字符"/>
    <w:basedOn w:val="25"/>
    <w:link w:val="16"/>
    <w:semiHidden/>
    <w:qFormat/>
    <w:uiPriority w:val="99"/>
    <w:rPr>
      <w:sz w:val="18"/>
      <w:szCs w:val="18"/>
    </w:rPr>
  </w:style>
  <w:style w:type="character" w:customStyle="1" w:styleId="47">
    <w:name w:val="B3-标题 字符"/>
    <w:basedOn w:val="37"/>
    <w:link w:val="35"/>
    <w:qFormat/>
    <w:uiPriority w:val="0"/>
    <w:rPr>
      <w:rFonts w:eastAsia="黑体"/>
    </w:rPr>
  </w:style>
  <w:style w:type="paragraph" w:customStyle="1" w:styleId="48">
    <w:name w:val="B4-标题"/>
    <w:basedOn w:val="1"/>
    <w:next w:val="4"/>
    <w:link w:val="52"/>
    <w:qFormat/>
    <w:uiPriority w:val="0"/>
    <w:pPr>
      <w:keepNext/>
      <w:numPr>
        <w:ilvl w:val="3"/>
        <w:numId w:val="3"/>
      </w:numPr>
      <w:adjustRightInd w:val="0"/>
      <w:snapToGrid w:val="0"/>
      <w:spacing w:before="120" w:after="120" w:line="360" w:lineRule="auto"/>
      <w:outlineLvl w:val="3"/>
    </w:pPr>
    <w:rPr>
      <w:rFonts w:ascii="Arial" w:hAnsi="Arial" w:cstheme="minorBidi"/>
      <w:b/>
      <w:kern w:val="2"/>
      <w:sz w:val="30"/>
      <w:szCs w:val="30"/>
    </w:rPr>
  </w:style>
  <w:style w:type="paragraph" w:customStyle="1" w:styleId="49">
    <w:name w:val="sf表格居中"/>
    <w:basedOn w:val="1"/>
    <w:link w:val="50"/>
    <w:qFormat/>
    <w:uiPriority w:val="0"/>
    <w:pPr>
      <w:widowControl w:val="0"/>
      <w:adjustRightInd w:val="0"/>
      <w:snapToGrid w:val="0"/>
      <w:jc w:val="center"/>
    </w:pPr>
    <w:rPr>
      <w:rFonts w:ascii="Arial" w:hAnsi="Arial" w:eastAsia="仿宋" w:cstheme="minorBidi"/>
      <w:kern w:val="2"/>
      <w:szCs w:val="30"/>
    </w:rPr>
  </w:style>
  <w:style w:type="character" w:customStyle="1" w:styleId="50">
    <w:name w:val="sf表格居中 字符"/>
    <w:basedOn w:val="25"/>
    <w:link w:val="49"/>
    <w:qFormat/>
    <w:uiPriority w:val="0"/>
    <w:rPr>
      <w:sz w:val="24"/>
    </w:rPr>
  </w:style>
  <w:style w:type="paragraph" w:customStyle="1" w:styleId="51">
    <w:name w:val="B5-标题"/>
    <w:basedOn w:val="1"/>
    <w:next w:val="4"/>
    <w:link w:val="56"/>
    <w:qFormat/>
    <w:uiPriority w:val="0"/>
    <w:pPr>
      <w:keepNext/>
      <w:numPr>
        <w:ilvl w:val="4"/>
        <w:numId w:val="3"/>
      </w:numPr>
      <w:adjustRightInd w:val="0"/>
      <w:snapToGrid w:val="0"/>
      <w:spacing w:line="360" w:lineRule="auto"/>
      <w:outlineLvl w:val="4"/>
    </w:pPr>
    <w:rPr>
      <w:rFonts w:ascii="Arial" w:hAnsi="Arial" w:eastAsia="仿宋" w:cstheme="minorBidi"/>
      <w:b/>
      <w:kern w:val="2"/>
      <w:sz w:val="30"/>
      <w:szCs w:val="30"/>
    </w:rPr>
  </w:style>
  <w:style w:type="character" w:customStyle="1" w:styleId="52">
    <w:name w:val="B4-标题 字符"/>
    <w:basedOn w:val="25"/>
    <w:link w:val="48"/>
    <w:qFormat/>
    <w:uiPriority w:val="0"/>
    <w:rPr>
      <w:rFonts w:eastAsia="宋体"/>
      <w:b/>
    </w:rPr>
  </w:style>
  <w:style w:type="paragraph" w:customStyle="1" w:styleId="53">
    <w:name w:val="A01-主标题"/>
    <w:basedOn w:val="1"/>
    <w:next w:val="4"/>
    <w:link w:val="54"/>
    <w:qFormat/>
    <w:uiPriority w:val="0"/>
    <w:pPr>
      <w:adjustRightInd w:val="0"/>
      <w:snapToGrid w:val="0"/>
      <w:spacing w:before="120" w:after="240" w:line="360" w:lineRule="auto"/>
      <w:jc w:val="center"/>
    </w:pPr>
    <w:rPr>
      <w:rFonts w:ascii="Arial" w:hAnsi="Arial" w:eastAsia="黑体" w:cstheme="minorBidi"/>
      <w:kern w:val="2"/>
      <w:sz w:val="44"/>
      <w:szCs w:val="30"/>
    </w:rPr>
  </w:style>
  <w:style w:type="character" w:customStyle="1" w:styleId="54">
    <w:name w:val="A01-主标题 字符"/>
    <w:basedOn w:val="45"/>
    <w:link w:val="53"/>
    <w:qFormat/>
    <w:uiPriority w:val="0"/>
    <w:rPr>
      <w:rFonts w:eastAsia="黑体"/>
      <w:sz w:val="44"/>
    </w:rPr>
  </w:style>
  <w:style w:type="paragraph" w:customStyle="1" w:styleId="55">
    <w:name w:val="B6-标题"/>
    <w:basedOn w:val="1"/>
    <w:next w:val="4"/>
    <w:link w:val="59"/>
    <w:qFormat/>
    <w:uiPriority w:val="0"/>
    <w:pPr>
      <w:keepNext/>
      <w:numPr>
        <w:ilvl w:val="5"/>
        <w:numId w:val="3"/>
      </w:numPr>
      <w:adjustRightInd w:val="0"/>
      <w:snapToGrid w:val="0"/>
      <w:spacing w:before="120" w:after="120" w:line="360" w:lineRule="auto"/>
      <w:outlineLvl w:val="5"/>
    </w:pPr>
    <w:rPr>
      <w:rFonts w:ascii="Arial" w:hAnsi="Arial" w:eastAsia="仿宋" w:cstheme="minorBidi"/>
      <w:b/>
      <w:kern w:val="2"/>
      <w:sz w:val="30"/>
      <w:szCs w:val="30"/>
    </w:rPr>
  </w:style>
  <w:style w:type="character" w:customStyle="1" w:styleId="56">
    <w:name w:val="B5-标题 字符"/>
    <w:basedOn w:val="25"/>
    <w:link w:val="51"/>
    <w:qFormat/>
    <w:uiPriority w:val="0"/>
    <w:rPr>
      <w:b/>
    </w:rPr>
  </w:style>
  <w:style w:type="paragraph" w:customStyle="1" w:styleId="57">
    <w:name w:val="B7-编号正文"/>
    <w:basedOn w:val="58"/>
    <w:link w:val="65"/>
    <w:qFormat/>
    <w:uiPriority w:val="0"/>
    <w:pPr>
      <w:numPr>
        <w:numId w:val="3"/>
      </w:numPr>
    </w:pPr>
  </w:style>
  <w:style w:type="paragraph" w:customStyle="1" w:styleId="58">
    <w:name w:val="A7-编号正文"/>
    <w:basedOn w:val="1"/>
    <w:link w:val="66"/>
    <w:qFormat/>
    <w:uiPriority w:val="0"/>
    <w:pPr>
      <w:widowControl w:val="0"/>
      <w:numPr>
        <w:ilvl w:val="6"/>
        <w:numId w:val="1"/>
      </w:numPr>
      <w:adjustRightInd w:val="0"/>
      <w:snapToGrid w:val="0"/>
      <w:spacing w:line="360" w:lineRule="auto"/>
    </w:pPr>
    <w:rPr>
      <w:rFonts w:ascii="Arial" w:hAnsi="Arial" w:eastAsia="仿宋" w:cstheme="minorBidi"/>
      <w:kern w:val="2"/>
      <w:sz w:val="30"/>
      <w:szCs w:val="30"/>
    </w:rPr>
  </w:style>
  <w:style w:type="character" w:customStyle="1" w:styleId="59">
    <w:name w:val="B6-标题 字符"/>
    <w:basedOn w:val="25"/>
    <w:link w:val="55"/>
    <w:qFormat/>
    <w:uiPriority w:val="0"/>
    <w:rPr>
      <w:b/>
    </w:rPr>
  </w:style>
  <w:style w:type="character" w:styleId="60">
    <w:name w:val="Placeholder Text"/>
    <w:basedOn w:val="25"/>
    <w:semiHidden/>
    <w:qFormat/>
    <w:uiPriority w:val="99"/>
    <w:rPr>
      <w:color w:val="808080"/>
    </w:rPr>
  </w:style>
  <w:style w:type="paragraph" w:customStyle="1" w:styleId="61">
    <w:name w:val="A02-副标题"/>
    <w:basedOn w:val="1"/>
    <w:next w:val="4"/>
    <w:link w:val="62"/>
    <w:qFormat/>
    <w:uiPriority w:val="0"/>
    <w:pPr>
      <w:adjustRightInd w:val="0"/>
      <w:snapToGrid w:val="0"/>
      <w:spacing w:before="120" w:after="120" w:line="360" w:lineRule="auto"/>
      <w:jc w:val="center"/>
    </w:pPr>
    <w:rPr>
      <w:rFonts w:ascii="Arial" w:hAnsi="Arial" w:eastAsia="楷体" w:cstheme="minorBidi"/>
      <w:b/>
      <w:kern w:val="2"/>
      <w:sz w:val="36"/>
      <w:szCs w:val="30"/>
    </w:rPr>
  </w:style>
  <w:style w:type="character" w:customStyle="1" w:styleId="62">
    <w:name w:val="A02-副标题 字符"/>
    <w:basedOn w:val="25"/>
    <w:link w:val="61"/>
    <w:qFormat/>
    <w:uiPriority w:val="0"/>
    <w:rPr>
      <w:rFonts w:eastAsia="楷体"/>
      <w:b/>
      <w:sz w:val="36"/>
    </w:rPr>
  </w:style>
  <w:style w:type="paragraph" w:customStyle="1" w:styleId="63">
    <w:name w:val="B8-编号正文"/>
    <w:basedOn w:val="64"/>
    <w:link w:val="69"/>
    <w:qFormat/>
    <w:uiPriority w:val="0"/>
    <w:pPr>
      <w:numPr>
        <w:numId w:val="3"/>
      </w:numPr>
    </w:pPr>
  </w:style>
  <w:style w:type="paragraph" w:customStyle="1" w:styleId="64">
    <w:name w:val="A8-编号正文"/>
    <w:basedOn w:val="1"/>
    <w:link w:val="70"/>
    <w:qFormat/>
    <w:uiPriority w:val="0"/>
    <w:pPr>
      <w:widowControl w:val="0"/>
      <w:numPr>
        <w:ilvl w:val="7"/>
        <w:numId w:val="1"/>
      </w:numPr>
      <w:adjustRightInd w:val="0"/>
      <w:snapToGrid w:val="0"/>
      <w:spacing w:line="360" w:lineRule="auto"/>
    </w:pPr>
    <w:rPr>
      <w:rFonts w:ascii="Arial" w:hAnsi="Arial" w:eastAsia="仿宋" w:cstheme="minorBidi"/>
      <w:kern w:val="2"/>
      <w:sz w:val="30"/>
      <w:szCs w:val="30"/>
    </w:rPr>
  </w:style>
  <w:style w:type="character" w:customStyle="1" w:styleId="65">
    <w:name w:val="B7-编号正文 字符"/>
    <w:basedOn w:val="66"/>
    <w:link w:val="57"/>
    <w:qFormat/>
    <w:uiPriority w:val="0"/>
  </w:style>
  <w:style w:type="character" w:customStyle="1" w:styleId="66">
    <w:name w:val="A7-编号正文 字符"/>
    <w:basedOn w:val="45"/>
    <w:link w:val="58"/>
    <w:qFormat/>
    <w:uiPriority w:val="0"/>
  </w:style>
  <w:style w:type="paragraph" w:customStyle="1" w:styleId="67">
    <w:name w:val="B9-编号正文"/>
    <w:basedOn w:val="68"/>
    <w:link w:val="72"/>
    <w:qFormat/>
    <w:uiPriority w:val="0"/>
    <w:pPr>
      <w:numPr>
        <w:numId w:val="3"/>
      </w:numPr>
    </w:pPr>
  </w:style>
  <w:style w:type="paragraph" w:customStyle="1" w:styleId="68">
    <w:name w:val="A9-编号正文"/>
    <w:basedOn w:val="1"/>
    <w:link w:val="73"/>
    <w:qFormat/>
    <w:uiPriority w:val="0"/>
    <w:pPr>
      <w:widowControl w:val="0"/>
      <w:numPr>
        <w:ilvl w:val="8"/>
        <w:numId w:val="1"/>
      </w:numPr>
      <w:adjustRightInd w:val="0"/>
      <w:snapToGrid w:val="0"/>
      <w:spacing w:line="360" w:lineRule="auto"/>
    </w:pPr>
    <w:rPr>
      <w:rFonts w:ascii="Arial" w:hAnsi="Arial" w:eastAsia="仿宋" w:cstheme="minorBidi"/>
      <w:kern w:val="2"/>
      <w:sz w:val="30"/>
      <w:szCs w:val="30"/>
    </w:rPr>
  </w:style>
  <w:style w:type="character" w:customStyle="1" w:styleId="69">
    <w:name w:val="B8-编号正文 字符"/>
    <w:basedOn w:val="70"/>
    <w:link w:val="63"/>
    <w:qFormat/>
    <w:uiPriority w:val="0"/>
  </w:style>
  <w:style w:type="character" w:customStyle="1" w:styleId="70">
    <w:name w:val="A8-编号正文 字符"/>
    <w:basedOn w:val="66"/>
    <w:link w:val="64"/>
    <w:qFormat/>
    <w:uiPriority w:val="0"/>
  </w:style>
  <w:style w:type="paragraph" w:customStyle="1" w:styleId="71">
    <w:name w:val="sf表格居左"/>
    <w:basedOn w:val="1"/>
    <w:link w:val="75"/>
    <w:qFormat/>
    <w:uiPriority w:val="0"/>
    <w:pPr>
      <w:widowControl w:val="0"/>
      <w:adjustRightInd w:val="0"/>
      <w:snapToGrid w:val="0"/>
      <w:ind w:firstLine="100" w:firstLineChars="100"/>
    </w:pPr>
    <w:rPr>
      <w:rFonts w:ascii="Arial" w:hAnsi="Arial" w:eastAsia="仿宋" w:cstheme="minorBidi"/>
      <w:kern w:val="2"/>
      <w:szCs w:val="30"/>
    </w:rPr>
  </w:style>
  <w:style w:type="character" w:customStyle="1" w:styleId="72">
    <w:name w:val="B9-编号正文 字符"/>
    <w:basedOn w:val="73"/>
    <w:link w:val="67"/>
    <w:qFormat/>
    <w:uiPriority w:val="0"/>
  </w:style>
  <w:style w:type="character" w:customStyle="1" w:styleId="73">
    <w:name w:val="A9-编号正文 字符"/>
    <w:basedOn w:val="25"/>
    <w:link w:val="68"/>
    <w:qFormat/>
    <w:uiPriority w:val="0"/>
  </w:style>
  <w:style w:type="table" w:customStyle="1" w:styleId="74">
    <w:name w:val="Grid Table Light"/>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75">
    <w:name w:val="sf表格居左 字符"/>
    <w:basedOn w:val="25"/>
    <w:link w:val="71"/>
    <w:qFormat/>
    <w:uiPriority w:val="0"/>
    <w:rPr>
      <w:sz w:val="24"/>
    </w:rPr>
  </w:style>
  <w:style w:type="paragraph" w:customStyle="1" w:styleId="76">
    <w:name w:val="sf图片"/>
    <w:basedOn w:val="1"/>
    <w:link w:val="77"/>
    <w:qFormat/>
    <w:uiPriority w:val="0"/>
    <w:pPr>
      <w:adjustRightInd w:val="0"/>
      <w:snapToGrid w:val="0"/>
      <w:spacing w:line="360" w:lineRule="auto"/>
      <w:jc w:val="center"/>
    </w:pPr>
    <w:rPr>
      <w:rFonts w:ascii="Arial" w:hAnsi="Arial" w:eastAsia="仿宋" w:cstheme="minorBidi"/>
      <w:kern w:val="2"/>
      <w:sz w:val="30"/>
      <w:szCs w:val="30"/>
    </w:rPr>
  </w:style>
  <w:style w:type="character" w:customStyle="1" w:styleId="77">
    <w:name w:val="sf图片 字符"/>
    <w:basedOn w:val="25"/>
    <w:link w:val="76"/>
    <w:qFormat/>
    <w:uiPriority w:val="0"/>
  </w:style>
  <w:style w:type="character" w:customStyle="1" w:styleId="78">
    <w:name w:val="标题 7 字符"/>
    <w:basedOn w:val="25"/>
    <w:link w:val="10"/>
    <w:qFormat/>
    <w:uiPriority w:val="0"/>
    <w:rPr>
      <w:b/>
      <w:bCs/>
      <w:szCs w:val="24"/>
    </w:rPr>
  </w:style>
  <w:style w:type="character" w:customStyle="1" w:styleId="79">
    <w:name w:val="标题 8 字符"/>
    <w:basedOn w:val="25"/>
    <w:link w:val="11"/>
    <w:qFormat/>
    <w:uiPriority w:val="0"/>
    <w:rPr>
      <w:rFonts w:cstheme="majorBidi"/>
      <w:b/>
      <w:szCs w:val="24"/>
    </w:rPr>
  </w:style>
  <w:style w:type="character" w:customStyle="1" w:styleId="80">
    <w:name w:val="标题 9 字符"/>
    <w:basedOn w:val="25"/>
    <w:link w:val="12"/>
    <w:qFormat/>
    <w:uiPriority w:val="0"/>
    <w:rPr>
      <w:rFonts w:eastAsia="仿宋" w:asciiTheme="majorHAnsi" w:hAnsiTheme="majorHAnsi" w:cstheme="majorBidi"/>
      <w:b/>
      <w:sz w:val="30"/>
    </w:rPr>
  </w:style>
  <w:style w:type="paragraph" w:customStyle="1" w:styleId="81">
    <w:name w:val="sf概述"/>
    <w:basedOn w:val="1"/>
    <w:link w:val="82"/>
    <w:qFormat/>
    <w:uiPriority w:val="0"/>
    <w:pPr>
      <w:ind w:firstLine="601"/>
    </w:pPr>
    <w:rPr>
      <w:rFonts w:ascii="Arial" w:hAnsi="Arial" w:eastAsia="楷体" w:cstheme="minorBidi"/>
      <w:kern w:val="2"/>
      <w:sz w:val="28"/>
      <w:szCs w:val="30"/>
    </w:rPr>
  </w:style>
  <w:style w:type="character" w:customStyle="1" w:styleId="82">
    <w:name w:val="sf概述 字符"/>
    <w:basedOn w:val="45"/>
    <w:link w:val="81"/>
    <w:qFormat/>
    <w:uiPriority w:val="0"/>
    <w:rPr>
      <w:rFonts w:ascii="Arial" w:hAnsi="Arial" w:eastAsia="楷体"/>
      <w:sz w:val="28"/>
    </w:rPr>
  </w:style>
  <w:style w:type="paragraph" w:customStyle="1" w:styleId="83">
    <w:name w:val="奇数页页脚"/>
    <w:basedOn w:val="17"/>
    <w:link w:val="85"/>
    <w:qFormat/>
    <w:uiPriority w:val="0"/>
    <w:pPr>
      <w:jc w:val="right"/>
    </w:pPr>
    <w:rPr>
      <w:rFonts w:ascii="仿宋" w:hAnsi="仿宋"/>
      <w:lang w:val="zh-CN"/>
    </w:rPr>
  </w:style>
  <w:style w:type="paragraph" w:customStyle="1" w:styleId="84">
    <w:name w:val="奇数页页眉"/>
    <w:basedOn w:val="18"/>
    <w:link w:val="87"/>
    <w:qFormat/>
    <w:uiPriority w:val="0"/>
    <w:pPr>
      <w:pBdr>
        <w:bottom w:val="none" w:color="auto" w:sz="0" w:space="0"/>
      </w:pBdr>
      <w:jc w:val="right"/>
    </w:pPr>
    <w:rPr>
      <w:rFonts w:ascii="黑体" w:hAnsi="黑体" w:eastAsia="黑体"/>
    </w:rPr>
  </w:style>
  <w:style w:type="character" w:customStyle="1" w:styleId="85">
    <w:name w:val="奇数页页脚 字符"/>
    <w:basedOn w:val="40"/>
    <w:link w:val="83"/>
    <w:qFormat/>
    <w:uiPriority w:val="0"/>
    <w:rPr>
      <w:rFonts w:ascii="仿宋" w:hAnsi="仿宋" w:eastAsia="仿宋"/>
      <w:sz w:val="18"/>
      <w:szCs w:val="18"/>
      <w:lang w:val="zh-CN"/>
    </w:rPr>
  </w:style>
  <w:style w:type="paragraph" w:customStyle="1" w:styleId="86">
    <w:name w:val="偶数页页眉"/>
    <w:basedOn w:val="18"/>
    <w:link w:val="89"/>
    <w:qFormat/>
    <w:uiPriority w:val="0"/>
    <w:pPr>
      <w:pBdr>
        <w:bottom w:val="none" w:color="auto" w:sz="0" w:space="0"/>
      </w:pBdr>
      <w:jc w:val="left"/>
    </w:pPr>
    <w:rPr>
      <w:rFonts w:ascii="黑体" w:hAnsi="黑体" w:eastAsia="黑体"/>
    </w:rPr>
  </w:style>
  <w:style w:type="character" w:customStyle="1" w:styleId="87">
    <w:name w:val="奇数页页眉 字符"/>
    <w:basedOn w:val="41"/>
    <w:link w:val="84"/>
    <w:qFormat/>
    <w:uiPriority w:val="0"/>
    <w:rPr>
      <w:rFonts w:ascii="黑体" w:hAnsi="黑体" w:eastAsia="黑体"/>
      <w:sz w:val="18"/>
      <w:szCs w:val="18"/>
    </w:rPr>
  </w:style>
  <w:style w:type="paragraph" w:customStyle="1" w:styleId="88">
    <w:name w:val="偶数页页脚"/>
    <w:basedOn w:val="17"/>
    <w:link w:val="90"/>
    <w:qFormat/>
    <w:uiPriority w:val="0"/>
  </w:style>
  <w:style w:type="character" w:customStyle="1" w:styleId="89">
    <w:name w:val="偶数页页眉 字符"/>
    <w:basedOn w:val="41"/>
    <w:link w:val="86"/>
    <w:qFormat/>
    <w:uiPriority w:val="0"/>
    <w:rPr>
      <w:rFonts w:ascii="黑体" w:hAnsi="黑体" w:eastAsia="黑体"/>
      <w:sz w:val="18"/>
      <w:szCs w:val="18"/>
    </w:rPr>
  </w:style>
  <w:style w:type="character" w:customStyle="1" w:styleId="90">
    <w:name w:val="偶数页页脚 字符"/>
    <w:basedOn w:val="40"/>
    <w:link w:val="88"/>
    <w:qFormat/>
    <w:uiPriority w:val="0"/>
    <w:rPr>
      <w:sz w:val="18"/>
      <w:szCs w:val="18"/>
    </w:rPr>
  </w:style>
  <w:style w:type="table" w:customStyle="1" w:styleId="91">
    <w:name w:val="Grid Table 1 Light Accent 6"/>
    <w:basedOn w:val="23"/>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paragraph" w:customStyle="1" w:styleId="92">
    <w:name w:val="sf表格标题"/>
    <w:basedOn w:val="1"/>
    <w:next w:val="1"/>
    <w:link w:val="93"/>
    <w:qFormat/>
    <w:uiPriority w:val="0"/>
    <w:pPr>
      <w:widowControl w:val="0"/>
      <w:adjustRightInd w:val="0"/>
      <w:snapToGrid w:val="0"/>
      <w:jc w:val="center"/>
    </w:pPr>
    <w:rPr>
      <w:rFonts w:ascii="Arial" w:hAnsi="Arial" w:eastAsia="仿宋" w:cstheme="minorBidi"/>
      <w:kern w:val="2"/>
      <w:sz w:val="28"/>
      <w:szCs w:val="21"/>
    </w:rPr>
  </w:style>
  <w:style w:type="character" w:customStyle="1" w:styleId="93">
    <w:name w:val="sf表格标题 字符"/>
    <w:basedOn w:val="25"/>
    <w:link w:val="92"/>
    <w:qFormat/>
    <w:uiPriority w:val="0"/>
    <w:rPr>
      <w:sz w:val="28"/>
      <w:szCs w:val="21"/>
    </w:rPr>
  </w:style>
  <w:style w:type="paragraph" w:customStyle="1" w:styleId="94">
    <w:name w:val="sf5"/>
    <w:basedOn w:val="8"/>
    <w:next w:val="4"/>
    <w:link w:val="95"/>
    <w:qFormat/>
    <w:uiPriority w:val="0"/>
    <w:pPr>
      <w:keepNext w:val="0"/>
      <w:numPr>
        <w:numId w:val="0"/>
      </w:numPr>
      <w:spacing w:before="50" w:beforeLines="50" w:after="0"/>
      <w:ind w:left="1022" w:hanging="420"/>
      <w:jc w:val="both"/>
    </w:pPr>
    <w:rPr>
      <w:rFonts w:cstheme="majorBidi"/>
      <w:szCs w:val="28"/>
    </w:rPr>
  </w:style>
  <w:style w:type="character" w:customStyle="1" w:styleId="95">
    <w:name w:val="sf5 字符"/>
    <w:basedOn w:val="25"/>
    <w:link w:val="94"/>
    <w:qFormat/>
    <w:uiPriority w:val="0"/>
    <w:rPr>
      <w:rFonts w:cstheme="majorBidi"/>
      <w:b/>
      <w:szCs w:val="28"/>
    </w:rPr>
  </w:style>
  <w:style w:type="paragraph" w:customStyle="1" w:styleId="96">
    <w:name w:val="_Style 6"/>
    <w:basedOn w:val="1"/>
    <w:qFormat/>
    <w:uiPriority w:val="0"/>
    <w:pPr>
      <w:widowControl w:val="0"/>
      <w:jc w:val="both"/>
    </w:pPr>
    <w:rPr>
      <w:rFonts w:ascii="Calibri" w:hAnsi="Calibri"/>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354</Words>
  <Characters>2019</Characters>
  <Lines>16</Lines>
  <Paragraphs>4</Paragraphs>
  <TotalTime>3</TotalTime>
  <ScaleCrop>false</ScaleCrop>
  <LinksUpToDate>false</LinksUpToDate>
  <CharactersWithSpaces>2369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2022-09-15T13:58:00Z</dcterms:created>
  <dc:creator>沈 倩芸</dc:creator>
  <cp:lastModifiedBy>greatwall</cp:lastModifiedBy>
  <cp:lastPrinted>2022-09-24T14:54:00Z</cp:lastPrinted>
  <dcterms:modified xsi:type="dcterms:W3CDTF">2022-09-23T16:52:00Z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